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CB" w:rsidRDefault="00543F29" w:rsidP="006427CB">
      <w:pPr>
        <w:pStyle w:val="CM1"/>
        <w:jc w:val="center"/>
        <w:rPr>
          <w:b/>
          <w:bCs/>
          <w:color w:val="000000"/>
          <w:sz w:val="28"/>
          <w:szCs w:val="28"/>
        </w:rPr>
      </w:pPr>
      <w:r>
        <w:rPr>
          <w:noProof/>
          <w:lang w:val="en-AU" w:eastAsia="en-AU"/>
        </w:rPr>
        <w:drawing>
          <wp:inline distT="0" distB="0" distL="0" distR="0">
            <wp:extent cx="3543300" cy="1028700"/>
            <wp:effectExtent l="0" t="0" r="0" b="0"/>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1028700"/>
                    </a:xfrm>
                    <a:prstGeom prst="rect">
                      <a:avLst/>
                    </a:prstGeom>
                    <a:noFill/>
                    <a:ln>
                      <a:noFill/>
                    </a:ln>
                  </pic:spPr>
                </pic:pic>
              </a:graphicData>
            </a:graphic>
          </wp:inline>
        </w:drawing>
      </w:r>
    </w:p>
    <w:p w:rsidR="006427CB" w:rsidRDefault="006427CB" w:rsidP="00AD7EC9">
      <w:pPr>
        <w:pStyle w:val="CM1"/>
        <w:jc w:val="center"/>
        <w:rPr>
          <w:b/>
          <w:bCs/>
          <w:color w:val="000000"/>
          <w:sz w:val="28"/>
          <w:szCs w:val="28"/>
        </w:rPr>
      </w:pPr>
    </w:p>
    <w:p w:rsidR="006427CB" w:rsidRDefault="006427CB" w:rsidP="00AD7EC9">
      <w:pPr>
        <w:pStyle w:val="Default"/>
        <w:jc w:val="center"/>
      </w:pPr>
    </w:p>
    <w:p w:rsidR="006427CB" w:rsidRPr="006427CB" w:rsidRDefault="006427CB" w:rsidP="00AD7EC9">
      <w:pPr>
        <w:pStyle w:val="Default"/>
        <w:jc w:val="center"/>
      </w:pPr>
    </w:p>
    <w:p w:rsidR="006427CB" w:rsidRDefault="006427CB" w:rsidP="00AD7EC9">
      <w:pPr>
        <w:pStyle w:val="CM1"/>
        <w:jc w:val="center"/>
        <w:rPr>
          <w:b/>
          <w:bCs/>
          <w:color w:val="000000"/>
          <w:sz w:val="28"/>
          <w:szCs w:val="28"/>
        </w:rPr>
      </w:pPr>
    </w:p>
    <w:p w:rsidR="00AD7EC9" w:rsidRDefault="00AD7EC9" w:rsidP="00AD7EC9">
      <w:pPr>
        <w:pStyle w:val="Default"/>
        <w:jc w:val="center"/>
      </w:pPr>
    </w:p>
    <w:p w:rsidR="00AD7EC9" w:rsidRDefault="00AD7EC9" w:rsidP="00AD7EC9">
      <w:pPr>
        <w:pStyle w:val="Default"/>
        <w:jc w:val="center"/>
      </w:pPr>
    </w:p>
    <w:p w:rsidR="00AD7EC9" w:rsidRDefault="00AD7EC9" w:rsidP="00AD7EC9">
      <w:pPr>
        <w:pStyle w:val="Default"/>
        <w:jc w:val="center"/>
      </w:pPr>
    </w:p>
    <w:p w:rsidR="00AD7EC9" w:rsidRDefault="00AD7EC9" w:rsidP="00AD7EC9">
      <w:pPr>
        <w:pStyle w:val="Default"/>
        <w:jc w:val="center"/>
      </w:pPr>
    </w:p>
    <w:p w:rsidR="00AD7EC9" w:rsidRPr="00AD7EC9" w:rsidRDefault="00AD7EC9" w:rsidP="00AD7EC9">
      <w:pPr>
        <w:pStyle w:val="Default"/>
        <w:jc w:val="center"/>
      </w:pPr>
    </w:p>
    <w:p w:rsidR="006427CB" w:rsidRDefault="006427CB" w:rsidP="006427CB">
      <w:pPr>
        <w:pStyle w:val="CM1"/>
        <w:jc w:val="center"/>
        <w:rPr>
          <w:b/>
          <w:bCs/>
          <w:color w:val="000000"/>
          <w:sz w:val="28"/>
          <w:szCs w:val="28"/>
        </w:rPr>
      </w:pPr>
    </w:p>
    <w:p w:rsidR="00AD7EC9" w:rsidRDefault="00AD7EC9" w:rsidP="006427CB">
      <w:pPr>
        <w:pStyle w:val="CM1"/>
        <w:jc w:val="center"/>
        <w:rPr>
          <w:color w:val="000000"/>
          <w:sz w:val="28"/>
          <w:szCs w:val="28"/>
        </w:rPr>
      </w:pPr>
      <w:r>
        <w:rPr>
          <w:b/>
          <w:bCs/>
          <w:color w:val="000000"/>
          <w:sz w:val="28"/>
          <w:szCs w:val="28"/>
        </w:rPr>
        <w:t>The Australian Capital Territory</w:t>
      </w:r>
    </w:p>
    <w:p w:rsidR="00AD7EC9" w:rsidRDefault="00AD7EC9" w:rsidP="006427CB">
      <w:pPr>
        <w:pStyle w:val="CM11"/>
        <w:spacing w:after="280"/>
        <w:jc w:val="center"/>
        <w:rPr>
          <w:color w:val="000000"/>
          <w:sz w:val="28"/>
          <w:szCs w:val="28"/>
        </w:rPr>
      </w:pPr>
      <w:r>
        <w:rPr>
          <w:b/>
          <w:bCs/>
          <w:i/>
          <w:iCs/>
          <w:color w:val="000000"/>
          <w:sz w:val="28"/>
          <w:szCs w:val="28"/>
        </w:rPr>
        <w:t>(Planning and Land Management) Act 1988</w:t>
      </w:r>
    </w:p>
    <w:p w:rsidR="00AD7EC9" w:rsidRDefault="00AD7EC9" w:rsidP="006427CB">
      <w:pPr>
        <w:pStyle w:val="CM2"/>
        <w:spacing w:after="640"/>
        <w:jc w:val="center"/>
        <w:rPr>
          <w:color w:val="000000"/>
          <w:sz w:val="28"/>
          <w:szCs w:val="28"/>
        </w:rPr>
      </w:pPr>
      <w:r>
        <w:rPr>
          <w:b/>
          <w:bCs/>
          <w:color w:val="000000"/>
          <w:sz w:val="28"/>
          <w:szCs w:val="28"/>
        </w:rPr>
        <w:t xml:space="preserve">NATIONAL CAPITAL PLAN </w:t>
      </w:r>
      <w:r w:rsidR="006427CB">
        <w:rPr>
          <w:b/>
          <w:bCs/>
          <w:color w:val="000000"/>
          <w:sz w:val="28"/>
          <w:szCs w:val="28"/>
        </w:rPr>
        <w:br/>
      </w:r>
      <w:r>
        <w:rPr>
          <w:b/>
          <w:bCs/>
          <w:color w:val="000000"/>
          <w:sz w:val="28"/>
          <w:szCs w:val="28"/>
        </w:rPr>
        <w:t>AMENDMENT 49</w:t>
      </w:r>
    </w:p>
    <w:p w:rsidR="00AD7EC9" w:rsidRDefault="00AD7EC9" w:rsidP="006427CB">
      <w:pPr>
        <w:pStyle w:val="Default"/>
        <w:jc w:val="center"/>
        <w:rPr>
          <w:sz w:val="28"/>
          <w:szCs w:val="28"/>
        </w:rPr>
      </w:pPr>
    </w:p>
    <w:p w:rsidR="00AD7EC9" w:rsidRDefault="00AD7EC9">
      <w:pPr>
        <w:pStyle w:val="CM2"/>
        <w:spacing w:after="4442"/>
        <w:jc w:val="center"/>
        <w:rPr>
          <w:color w:val="000000"/>
          <w:sz w:val="28"/>
          <w:szCs w:val="28"/>
        </w:rPr>
      </w:pPr>
      <w:r>
        <w:rPr>
          <w:b/>
          <w:bCs/>
          <w:color w:val="000000"/>
          <w:sz w:val="28"/>
          <w:szCs w:val="28"/>
        </w:rPr>
        <w:t xml:space="preserve">Civic </w:t>
      </w:r>
      <w:r w:rsidR="006427CB">
        <w:rPr>
          <w:b/>
          <w:bCs/>
          <w:color w:val="000000"/>
          <w:sz w:val="28"/>
          <w:szCs w:val="28"/>
        </w:rPr>
        <w:br/>
      </w:r>
      <w:r>
        <w:rPr>
          <w:b/>
          <w:bCs/>
          <w:color w:val="000000"/>
          <w:sz w:val="28"/>
          <w:szCs w:val="28"/>
        </w:rPr>
        <w:t xml:space="preserve">Principles and Policies </w:t>
      </w:r>
    </w:p>
    <w:p w:rsidR="00AD7EC9" w:rsidRDefault="00AD7EC9">
      <w:pPr>
        <w:pStyle w:val="CM1"/>
        <w:jc w:val="center"/>
        <w:rPr>
          <w:color w:val="000000"/>
          <w:sz w:val="23"/>
          <w:szCs w:val="23"/>
        </w:rPr>
      </w:pPr>
      <w:r>
        <w:rPr>
          <w:b/>
          <w:bCs/>
          <w:color w:val="000000"/>
          <w:sz w:val="23"/>
          <w:szCs w:val="23"/>
        </w:rPr>
        <w:t xml:space="preserve">February 2005 </w:t>
      </w:r>
    </w:p>
    <w:p w:rsidR="00AD7EC9" w:rsidRDefault="00AD7EC9">
      <w:pPr>
        <w:pStyle w:val="Default"/>
        <w:rPr>
          <w:color w:val="auto"/>
        </w:rPr>
      </w:pPr>
    </w:p>
    <w:p w:rsidR="00AD7EC9" w:rsidRDefault="00AD7EC9">
      <w:pPr>
        <w:pStyle w:val="CM11"/>
        <w:pageBreakBefore/>
        <w:spacing w:after="212" w:line="323" w:lineRule="atLeast"/>
        <w:ind w:left="720"/>
        <w:rPr>
          <w:sz w:val="28"/>
          <w:szCs w:val="28"/>
        </w:rPr>
      </w:pPr>
      <w:r>
        <w:rPr>
          <w:b/>
          <w:bCs/>
          <w:sz w:val="28"/>
          <w:szCs w:val="28"/>
        </w:rPr>
        <w:lastRenderedPageBreak/>
        <w:t xml:space="preserve">National Capital Plan Amendment 49 </w:t>
      </w:r>
      <w:r w:rsidR="006427CB">
        <w:rPr>
          <w:b/>
          <w:bCs/>
          <w:sz w:val="28"/>
          <w:szCs w:val="28"/>
        </w:rPr>
        <w:br/>
      </w:r>
      <w:r>
        <w:rPr>
          <w:b/>
          <w:bCs/>
          <w:sz w:val="28"/>
          <w:szCs w:val="28"/>
        </w:rPr>
        <w:t xml:space="preserve">(Civic Principles and Policies) </w:t>
      </w:r>
    </w:p>
    <w:p w:rsidR="00AD7EC9" w:rsidRDefault="00AD7EC9">
      <w:pPr>
        <w:pStyle w:val="CM11"/>
        <w:spacing w:after="280" w:line="276" w:lineRule="atLeast"/>
        <w:rPr>
          <w:sz w:val="23"/>
          <w:szCs w:val="23"/>
        </w:rPr>
      </w:pPr>
      <w:r>
        <w:rPr>
          <w:sz w:val="23"/>
          <w:szCs w:val="23"/>
        </w:rPr>
        <w:t xml:space="preserve">The National Capital Plan is amended by: </w:t>
      </w:r>
    </w:p>
    <w:p w:rsidR="00AD7EC9" w:rsidRDefault="00AD7EC9" w:rsidP="00126F78">
      <w:pPr>
        <w:pStyle w:val="Default"/>
        <w:numPr>
          <w:ilvl w:val="0"/>
          <w:numId w:val="5"/>
        </w:numPr>
        <w:rPr>
          <w:color w:val="auto"/>
          <w:sz w:val="23"/>
          <w:szCs w:val="23"/>
        </w:rPr>
      </w:pPr>
      <w:r>
        <w:rPr>
          <w:color w:val="auto"/>
          <w:sz w:val="23"/>
          <w:szCs w:val="23"/>
        </w:rPr>
        <w:t xml:space="preserve">Replacing Figure 21 on page 87 of the Plan with a revised Figure 21 that follows; </w:t>
      </w:r>
    </w:p>
    <w:p w:rsidR="00126F78" w:rsidRDefault="00126F78" w:rsidP="00126F78">
      <w:pPr>
        <w:pStyle w:val="Default"/>
        <w:rPr>
          <w:color w:val="auto"/>
          <w:sz w:val="23"/>
          <w:szCs w:val="23"/>
        </w:rPr>
      </w:pPr>
    </w:p>
    <w:p w:rsidR="00AD7EC9" w:rsidRDefault="00AD7EC9" w:rsidP="00126F78">
      <w:pPr>
        <w:pStyle w:val="Default"/>
        <w:numPr>
          <w:ilvl w:val="0"/>
          <w:numId w:val="5"/>
        </w:numPr>
        <w:rPr>
          <w:color w:val="auto"/>
          <w:sz w:val="23"/>
          <w:szCs w:val="23"/>
        </w:rPr>
      </w:pPr>
      <w:r>
        <w:rPr>
          <w:color w:val="auto"/>
          <w:sz w:val="23"/>
          <w:szCs w:val="23"/>
        </w:rPr>
        <w:t xml:space="preserve">Including under the heading of </w:t>
      </w:r>
      <w:r>
        <w:rPr>
          <w:b/>
          <w:bCs/>
          <w:color w:val="auto"/>
          <w:sz w:val="23"/>
          <w:szCs w:val="23"/>
        </w:rPr>
        <w:t xml:space="preserve">National Interest in Civic, </w:t>
      </w:r>
      <w:r>
        <w:rPr>
          <w:color w:val="auto"/>
          <w:sz w:val="23"/>
          <w:szCs w:val="23"/>
        </w:rPr>
        <w:t xml:space="preserve">on page 89 of the Plan, after the words “The Commonwealth’s interest in Civic is different and is related to:”, the following: </w:t>
      </w:r>
    </w:p>
    <w:p w:rsidR="00126F78" w:rsidRDefault="00126F78" w:rsidP="00126F78">
      <w:pPr>
        <w:pStyle w:val="Default"/>
        <w:rPr>
          <w:color w:val="auto"/>
          <w:sz w:val="23"/>
          <w:szCs w:val="23"/>
        </w:rPr>
      </w:pPr>
    </w:p>
    <w:p w:rsidR="00AD7EC9" w:rsidRDefault="00AD7EC9" w:rsidP="00126F78">
      <w:pPr>
        <w:pStyle w:val="Default"/>
        <w:numPr>
          <w:ilvl w:val="0"/>
          <w:numId w:val="6"/>
        </w:numPr>
        <w:rPr>
          <w:color w:val="auto"/>
          <w:sz w:val="23"/>
          <w:szCs w:val="23"/>
        </w:rPr>
      </w:pPr>
      <w:r>
        <w:rPr>
          <w:color w:val="auto"/>
          <w:sz w:val="23"/>
          <w:szCs w:val="23"/>
        </w:rPr>
        <w:t xml:space="preserve">a new first dot point: </w:t>
      </w:r>
    </w:p>
    <w:p w:rsidR="00AD7EC9" w:rsidRPr="00126F78" w:rsidRDefault="00AD7EC9" w:rsidP="00126F78">
      <w:pPr>
        <w:pStyle w:val="Default"/>
        <w:numPr>
          <w:ilvl w:val="1"/>
          <w:numId w:val="6"/>
        </w:numPr>
        <w:rPr>
          <w:color w:val="auto"/>
          <w:sz w:val="23"/>
          <w:szCs w:val="23"/>
        </w:rPr>
      </w:pPr>
      <w:proofErr w:type="gramStart"/>
      <w:r>
        <w:rPr>
          <w:i/>
          <w:iCs/>
          <w:color w:val="auto"/>
          <w:sz w:val="23"/>
          <w:szCs w:val="23"/>
        </w:rPr>
        <w:t>maintaining</w:t>
      </w:r>
      <w:proofErr w:type="gramEnd"/>
      <w:r>
        <w:rPr>
          <w:i/>
          <w:iCs/>
          <w:color w:val="auto"/>
          <w:sz w:val="23"/>
          <w:szCs w:val="23"/>
        </w:rPr>
        <w:t xml:space="preserve"> the geometry and intent of the plan for Civic which is integral to the integrity of the Griffin Plan as a work of national and international significance and the role of the Griffin Plan as the principal </w:t>
      </w:r>
      <w:proofErr w:type="spellStart"/>
      <w:r>
        <w:rPr>
          <w:i/>
          <w:iCs/>
          <w:color w:val="auto"/>
          <w:sz w:val="23"/>
          <w:szCs w:val="23"/>
        </w:rPr>
        <w:t>organising</w:t>
      </w:r>
      <w:proofErr w:type="spellEnd"/>
      <w:r>
        <w:rPr>
          <w:i/>
          <w:iCs/>
          <w:color w:val="auto"/>
          <w:sz w:val="23"/>
          <w:szCs w:val="23"/>
        </w:rPr>
        <w:t xml:space="preserve"> framework for Civic and the Central National Area. </w:t>
      </w:r>
    </w:p>
    <w:p w:rsidR="00126F78" w:rsidRDefault="00126F78" w:rsidP="00126F78">
      <w:pPr>
        <w:pStyle w:val="Default"/>
        <w:ind w:left="1080"/>
        <w:rPr>
          <w:color w:val="auto"/>
          <w:sz w:val="23"/>
          <w:szCs w:val="23"/>
        </w:rPr>
      </w:pPr>
    </w:p>
    <w:p w:rsidR="00AD7EC9" w:rsidRDefault="00AD7EC9" w:rsidP="00126F78">
      <w:pPr>
        <w:pStyle w:val="Default"/>
        <w:numPr>
          <w:ilvl w:val="0"/>
          <w:numId w:val="6"/>
        </w:numPr>
        <w:rPr>
          <w:color w:val="auto"/>
          <w:sz w:val="23"/>
          <w:szCs w:val="23"/>
        </w:rPr>
      </w:pPr>
      <w:r>
        <w:rPr>
          <w:color w:val="auto"/>
          <w:sz w:val="23"/>
          <w:szCs w:val="23"/>
        </w:rPr>
        <w:t xml:space="preserve">additional words in the first existing dot point so that the re-worded dot point becomes: </w:t>
      </w:r>
    </w:p>
    <w:p w:rsidR="00AD7EC9" w:rsidRPr="00126F78" w:rsidRDefault="00AD7EC9" w:rsidP="00126F78">
      <w:pPr>
        <w:pStyle w:val="Default"/>
        <w:numPr>
          <w:ilvl w:val="1"/>
          <w:numId w:val="6"/>
        </w:numPr>
        <w:rPr>
          <w:color w:val="auto"/>
          <w:sz w:val="23"/>
          <w:szCs w:val="23"/>
        </w:rPr>
      </w:pPr>
      <w:proofErr w:type="gramStart"/>
      <w:r>
        <w:rPr>
          <w:i/>
          <w:iCs/>
          <w:color w:val="auto"/>
          <w:sz w:val="23"/>
          <w:szCs w:val="23"/>
        </w:rPr>
        <w:t>its</w:t>
      </w:r>
      <w:proofErr w:type="gramEnd"/>
      <w:r>
        <w:rPr>
          <w:i/>
          <w:iCs/>
          <w:color w:val="auto"/>
          <w:sz w:val="23"/>
          <w:szCs w:val="23"/>
        </w:rPr>
        <w:t xml:space="preserve"> location at the apex of the National Triangle, the </w:t>
      </w:r>
      <w:proofErr w:type="spellStart"/>
      <w:r>
        <w:rPr>
          <w:i/>
          <w:iCs/>
          <w:color w:val="auto"/>
          <w:sz w:val="23"/>
          <w:szCs w:val="23"/>
        </w:rPr>
        <w:t>centrepiece</w:t>
      </w:r>
      <w:proofErr w:type="spellEnd"/>
      <w:r>
        <w:rPr>
          <w:i/>
          <w:iCs/>
          <w:color w:val="auto"/>
          <w:sz w:val="23"/>
          <w:szCs w:val="23"/>
        </w:rPr>
        <w:t xml:space="preserve"> of Griffin’s Plan. The point of the apex is City Hill which will ultimately become the symbolic and geographical </w:t>
      </w:r>
      <w:proofErr w:type="spellStart"/>
      <w:r>
        <w:rPr>
          <w:i/>
          <w:iCs/>
          <w:color w:val="auto"/>
          <w:sz w:val="23"/>
          <w:szCs w:val="23"/>
        </w:rPr>
        <w:t>centre</w:t>
      </w:r>
      <w:proofErr w:type="spellEnd"/>
      <w:r>
        <w:rPr>
          <w:i/>
          <w:iCs/>
          <w:color w:val="auto"/>
          <w:sz w:val="23"/>
          <w:szCs w:val="23"/>
        </w:rPr>
        <w:t xml:space="preserve"> of Civic as it develops to the south and west. </w:t>
      </w:r>
    </w:p>
    <w:p w:rsidR="00126F78" w:rsidRDefault="00126F78" w:rsidP="00126F78">
      <w:pPr>
        <w:pStyle w:val="Default"/>
        <w:numPr>
          <w:ilvl w:val="1"/>
          <w:numId w:val="6"/>
        </w:numPr>
        <w:rPr>
          <w:color w:val="auto"/>
          <w:sz w:val="23"/>
          <w:szCs w:val="23"/>
        </w:rPr>
      </w:pPr>
    </w:p>
    <w:p w:rsidR="00AD7EC9" w:rsidRDefault="00AD7EC9" w:rsidP="00126F78">
      <w:pPr>
        <w:pStyle w:val="Default"/>
        <w:numPr>
          <w:ilvl w:val="0"/>
          <w:numId w:val="6"/>
        </w:numPr>
        <w:rPr>
          <w:color w:val="auto"/>
          <w:sz w:val="23"/>
          <w:szCs w:val="23"/>
        </w:rPr>
      </w:pPr>
      <w:r>
        <w:rPr>
          <w:color w:val="auto"/>
          <w:sz w:val="23"/>
          <w:szCs w:val="23"/>
        </w:rPr>
        <w:t xml:space="preserve">an additional dot point: </w:t>
      </w:r>
    </w:p>
    <w:p w:rsidR="00AD7EC9" w:rsidRPr="00126F78" w:rsidRDefault="00AD7EC9" w:rsidP="00126F78">
      <w:pPr>
        <w:pStyle w:val="Default"/>
        <w:numPr>
          <w:ilvl w:val="1"/>
          <w:numId w:val="6"/>
        </w:numPr>
        <w:rPr>
          <w:color w:val="auto"/>
          <w:sz w:val="23"/>
          <w:szCs w:val="23"/>
        </w:rPr>
      </w:pPr>
      <w:proofErr w:type="gramStart"/>
      <w:r>
        <w:rPr>
          <w:i/>
          <w:iCs/>
          <w:color w:val="auto"/>
          <w:sz w:val="23"/>
          <w:szCs w:val="23"/>
        </w:rPr>
        <w:t>the</w:t>
      </w:r>
      <w:proofErr w:type="gramEnd"/>
      <w:r>
        <w:rPr>
          <w:i/>
          <w:iCs/>
          <w:color w:val="auto"/>
          <w:sz w:val="23"/>
          <w:szCs w:val="23"/>
        </w:rPr>
        <w:t xml:space="preserve"> Main Avenues converging on Civic provide important strategic  corridors linking major </w:t>
      </w:r>
      <w:proofErr w:type="spellStart"/>
      <w:r>
        <w:rPr>
          <w:i/>
          <w:iCs/>
          <w:color w:val="auto"/>
          <w:sz w:val="23"/>
          <w:szCs w:val="23"/>
        </w:rPr>
        <w:t>centres</w:t>
      </w:r>
      <w:proofErr w:type="spellEnd"/>
      <w:r>
        <w:rPr>
          <w:i/>
          <w:iCs/>
          <w:color w:val="auto"/>
          <w:sz w:val="23"/>
          <w:szCs w:val="23"/>
        </w:rPr>
        <w:t xml:space="preserve"> of Commonwealth and municipal activity in the Central National Area – </w:t>
      </w:r>
      <w:proofErr w:type="spellStart"/>
      <w:r>
        <w:rPr>
          <w:i/>
          <w:iCs/>
          <w:color w:val="auto"/>
          <w:sz w:val="23"/>
          <w:szCs w:val="23"/>
        </w:rPr>
        <w:t>eg</w:t>
      </w:r>
      <w:proofErr w:type="spellEnd"/>
      <w:r>
        <w:rPr>
          <w:i/>
          <w:iCs/>
          <w:color w:val="auto"/>
          <w:sz w:val="23"/>
          <w:szCs w:val="23"/>
        </w:rPr>
        <w:t xml:space="preserve"> Government, University, </w:t>
      </w:r>
      <w:proofErr w:type="spellStart"/>
      <w:r>
        <w:rPr>
          <w:i/>
          <w:iCs/>
          <w:color w:val="auto"/>
          <w:sz w:val="23"/>
          <w:szCs w:val="23"/>
        </w:rPr>
        <w:t>Defence</w:t>
      </w:r>
      <w:proofErr w:type="spellEnd"/>
      <w:r>
        <w:rPr>
          <w:i/>
          <w:iCs/>
          <w:color w:val="auto"/>
          <w:sz w:val="23"/>
          <w:szCs w:val="23"/>
        </w:rPr>
        <w:t xml:space="preserve"> and Civic administration. These Main Avenues are suitable for the development of higher densities of retail, employment and residential activity to support key public transport corridors and provide the principal visual and symbolic connections between the city and the landscape. </w:t>
      </w:r>
    </w:p>
    <w:p w:rsidR="00126F78" w:rsidRDefault="00126F78" w:rsidP="00126F78">
      <w:pPr>
        <w:pStyle w:val="Default"/>
        <w:numPr>
          <w:ilvl w:val="1"/>
          <w:numId w:val="6"/>
        </w:numPr>
        <w:rPr>
          <w:color w:val="auto"/>
          <w:sz w:val="23"/>
          <w:szCs w:val="23"/>
        </w:rPr>
      </w:pPr>
    </w:p>
    <w:p w:rsidR="00AD7EC9" w:rsidRDefault="00AD7EC9" w:rsidP="00126F78">
      <w:pPr>
        <w:pStyle w:val="Default"/>
        <w:numPr>
          <w:ilvl w:val="0"/>
          <w:numId w:val="5"/>
        </w:numPr>
        <w:spacing w:after="201"/>
        <w:rPr>
          <w:color w:val="auto"/>
          <w:sz w:val="23"/>
          <w:szCs w:val="23"/>
        </w:rPr>
      </w:pPr>
      <w:r>
        <w:rPr>
          <w:color w:val="auto"/>
          <w:sz w:val="23"/>
          <w:szCs w:val="23"/>
        </w:rPr>
        <w:t xml:space="preserve">Deleting from the penultimate sub-paragraph on page 89 of Part One of the National Capital Plan the final sentence which reads </w:t>
      </w:r>
      <w:r>
        <w:rPr>
          <w:i/>
          <w:iCs/>
          <w:color w:val="auto"/>
          <w:sz w:val="23"/>
          <w:szCs w:val="23"/>
        </w:rPr>
        <w:t xml:space="preserve">‘These considerations are best met by special requirements’; </w:t>
      </w:r>
    </w:p>
    <w:p w:rsidR="00AD7EC9" w:rsidRDefault="00AD7EC9" w:rsidP="00126F78">
      <w:pPr>
        <w:pStyle w:val="Default"/>
        <w:numPr>
          <w:ilvl w:val="0"/>
          <w:numId w:val="5"/>
        </w:numPr>
        <w:spacing w:after="201"/>
        <w:rPr>
          <w:color w:val="auto"/>
          <w:sz w:val="23"/>
          <w:szCs w:val="23"/>
        </w:rPr>
      </w:pPr>
      <w:r>
        <w:rPr>
          <w:color w:val="auto"/>
          <w:sz w:val="23"/>
          <w:szCs w:val="23"/>
        </w:rPr>
        <w:t>Deleting the paragraph on page 90 of Part One of the National Capital Plan immediately preceding the heading ‘</w:t>
      </w:r>
      <w:r>
        <w:rPr>
          <w:b/>
          <w:bCs/>
          <w:color w:val="auto"/>
          <w:sz w:val="23"/>
          <w:szCs w:val="23"/>
        </w:rPr>
        <w:t xml:space="preserve">Special Requirements’ </w:t>
      </w:r>
      <w:r>
        <w:rPr>
          <w:color w:val="auto"/>
          <w:sz w:val="23"/>
          <w:szCs w:val="23"/>
        </w:rPr>
        <w:t xml:space="preserve">in section 4.5.4; </w:t>
      </w:r>
    </w:p>
    <w:p w:rsidR="00AD7EC9" w:rsidRDefault="00AD7EC9" w:rsidP="00126F78">
      <w:pPr>
        <w:pStyle w:val="Default"/>
        <w:numPr>
          <w:ilvl w:val="0"/>
          <w:numId w:val="5"/>
        </w:numPr>
        <w:rPr>
          <w:color w:val="auto"/>
          <w:sz w:val="23"/>
          <w:szCs w:val="23"/>
        </w:rPr>
      </w:pPr>
      <w:r>
        <w:rPr>
          <w:color w:val="auto"/>
          <w:sz w:val="23"/>
          <w:szCs w:val="23"/>
        </w:rPr>
        <w:t xml:space="preserve">Deleting the heading </w:t>
      </w:r>
      <w:r>
        <w:rPr>
          <w:b/>
          <w:bCs/>
          <w:color w:val="auto"/>
          <w:sz w:val="23"/>
          <w:szCs w:val="23"/>
        </w:rPr>
        <w:t>Special Requirements</w:t>
      </w:r>
      <w:r>
        <w:rPr>
          <w:color w:val="auto"/>
          <w:sz w:val="23"/>
          <w:szCs w:val="23"/>
        </w:rPr>
        <w:t xml:space="preserve"> and the material following that heading set out in section 4.5.4 Civic in Chapter 4 Urban Areas, pages 90 and 91 of Part One of the National Capital Plan and substituting the following: </w:t>
      </w:r>
    </w:p>
    <w:p w:rsidR="00AD7EC9" w:rsidRDefault="00AD7EC9">
      <w:pPr>
        <w:pStyle w:val="Default"/>
        <w:rPr>
          <w:color w:val="auto"/>
          <w:sz w:val="23"/>
          <w:szCs w:val="23"/>
        </w:rPr>
      </w:pPr>
    </w:p>
    <w:p w:rsidR="00AD7EC9" w:rsidRDefault="00AD7EC9">
      <w:pPr>
        <w:pStyle w:val="CM11"/>
        <w:pageBreakBefore/>
        <w:spacing w:after="222" w:line="276" w:lineRule="atLeast"/>
        <w:jc w:val="both"/>
        <w:rPr>
          <w:sz w:val="23"/>
          <w:szCs w:val="23"/>
        </w:rPr>
      </w:pPr>
      <w:r>
        <w:rPr>
          <w:b/>
          <w:bCs/>
          <w:i/>
          <w:iCs/>
          <w:sz w:val="23"/>
          <w:szCs w:val="23"/>
        </w:rPr>
        <w:lastRenderedPageBreak/>
        <w:t xml:space="preserve">4.5.4.1 Principles for Civic </w:t>
      </w:r>
    </w:p>
    <w:p w:rsidR="00AD7EC9" w:rsidRDefault="00AD7EC9">
      <w:pPr>
        <w:pStyle w:val="CM11"/>
        <w:spacing w:after="280" w:line="276" w:lineRule="atLeast"/>
        <w:rPr>
          <w:sz w:val="23"/>
          <w:szCs w:val="23"/>
        </w:rPr>
      </w:pPr>
      <w:proofErr w:type="spellStart"/>
      <w:r>
        <w:rPr>
          <w:i/>
          <w:iCs/>
          <w:sz w:val="23"/>
          <w:szCs w:val="23"/>
        </w:rPr>
        <w:t>Civic’s</w:t>
      </w:r>
      <w:proofErr w:type="spellEnd"/>
      <w:r>
        <w:rPr>
          <w:i/>
          <w:iCs/>
          <w:sz w:val="23"/>
          <w:szCs w:val="23"/>
        </w:rPr>
        <w:t xml:space="preserve"> continued development should </w:t>
      </w:r>
      <w:proofErr w:type="spellStart"/>
      <w:r>
        <w:rPr>
          <w:i/>
          <w:iCs/>
          <w:sz w:val="23"/>
          <w:szCs w:val="23"/>
        </w:rPr>
        <w:t>recognise</w:t>
      </w:r>
      <w:proofErr w:type="spellEnd"/>
      <w:r>
        <w:rPr>
          <w:i/>
          <w:iCs/>
          <w:sz w:val="23"/>
          <w:szCs w:val="23"/>
        </w:rPr>
        <w:t xml:space="preserve"> its metropolitan significance and role, achieve a satisfactory relationship between Civic and other development and features of the Central area, and meet the following Principles: </w:t>
      </w:r>
    </w:p>
    <w:p w:rsidR="00AD7EC9" w:rsidRDefault="00AD7EC9" w:rsidP="00126F78">
      <w:pPr>
        <w:pStyle w:val="CM7"/>
        <w:numPr>
          <w:ilvl w:val="2"/>
          <w:numId w:val="6"/>
        </w:numPr>
        <w:tabs>
          <w:tab w:val="clear" w:pos="2340"/>
          <w:tab w:val="num" w:pos="1080"/>
        </w:tabs>
        <w:ind w:left="1080"/>
        <w:jc w:val="both"/>
        <w:rPr>
          <w:sz w:val="23"/>
          <w:szCs w:val="23"/>
        </w:rPr>
      </w:pPr>
      <w:r>
        <w:rPr>
          <w:i/>
          <w:iCs/>
          <w:sz w:val="23"/>
          <w:szCs w:val="23"/>
        </w:rPr>
        <w:t xml:space="preserve">Future development and redevelopment in Civic should aim both to reinforce </w:t>
      </w:r>
      <w:proofErr w:type="spellStart"/>
      <w:r>
        <w:rPr>
          <w:i/>
          <w:iCs/>
          <w:sz w:val="23"/>
          <w:szCs w:val="23"/>
        </w:rPr>
        <w:t>Civic's</w:t>
      </w:r>
      <w:proofErr w:type="spellEnd"/>
      <w:r>
        <w:rPr>
          <w:i/>
          <w:iCs/>
          <w:sz w:val="23"/>
          <w:szCs w:val="23"/>
        </w:rPr>
        <w:t xml:space="preserve"> role as the prime metropolitan </w:t>
      </w:r>
      <w:proofErr w:type="spellStart"/>
      <w:r>
        <w:rPr>
          <w:i/>
          <w:iCs/>
          <w:sz w:val="23"/>
          <w:szCs w:val="23"/>
        </w:rPr>
        <w:t>centre</w:t>
      </w:r>
      <w:proofErr w:type="spellEnd"/>
      <w:r>
        <w:rPr>
          <w:i/>
          <w:iCs/>
          <w:sz w:val="23"/>
          <w:szCs w:val="23"/>
        </w:rPr>
        <w:t xml:space="preserve">, and contribute to a diverse, lively and attractive character.  </w:t>
      </w:r>
    </w:p>
    <w:p w:rsidR="00AD7EC9" w:rsidRDefault="00AD7EC9" w:rsidP="00126F78">
      <w:pPr>
        <w:pStyle w:val="Default"/>
        <w:spacing w:line="276" w:lineRule="atLeast"/>
        <w:ind w:left="-360"/>
        <w:jc w:val="both"/>
        <w:rPr>
          <w:color w:val="auto"/>
          <w:sz w:val="23"/>
          <w:szCs w:val="23"/>
        </w:rPr>
      </w:pPr>
    </w:p>
    <w:p w:rsidR="00AD7EC9" w:rsidRDefault="00AD7EC9" w:rsidP="00126F78">
      <w:pPr>
        <w:pStyle w:val="CM11"/>
        <w:numPr>
          <w:ilvl w:val="2"/>
          <w:numId w:val="6"/>
        </w:numPr>
        <w:tabs>
          <w:tab w:val="clear" w:pos="2340"/>
          <w:tab w:val="num" w:pos="1080"/>
        </w:tabs>
        <w:spacing w:after="280" w:line="276" w:lineRule="atLeast"/>
        <w:ind w:left="1080"/>
        <w:jc w:val="both"/>
        <w:rPr>
          <w:sz w:val="23"/>
          <w:szCs w:val="23"/>
        </w:rPr>
      </w:pPr>
      <w:r>
        <w:rPr>
          <w:i/>
          <w:iCs/>
          <w:sz w:val="23"/>
          <w:szCs w:val="23"/>
        </w:rPr>
        <w:t xml:space="preserve">The design of buildings and the amenity and environmental quality of the main public spaces should result in an accessible, attractive, high quality and distinctive </w:t>
      </w:r>
      <w:proofErr w:type="spellStart"/>
      <w:r>
        <w:rPr>
          <w:i/>
          <w:iCs/>
          <w:sz w:val="23"/>
          <w:szCs w:val="23"/>
        </w:rPr>
        <w:t>centre</w:t>
      </w:r>
      <w:proofErr w:type="spellEnd"/>
      <w:r>
        <w:rPr>
          <w:i/>
          <w:iCs/>
          <w:sz w:val="23"/>
          <w:szCs w:val="23"/>
        </w:rPr>
        <w:t xml:space="preserve"> consistent with </w:t>
      </w:r>
      <w:proofErr w:type="spellStart"/>
      <w:r>
        <w:rPr>
          <w:i/>
          <w:iCs/>
          <w:sz w:val="23"/>
          <w:szCs w:val="23"/>
        </w:rPr>
        <w:t>Civic's</w:t>
      </w:r>
      <w:proofErr w:type="spellEnd"/>
      <w:r>
        <w:rPr>
          <w:i/>
          <w:iCs/>
          <w:sz w:val="23"/>
          <w:szCs w:val="23"/>
        </w:rPr>
        <w:t xml:space="preserve"> role as the major metropolitan </w:t>
      </w:r>
      <w:proofErr w:type="spellStart"/>
      <w:r>
        <w:rPr>
          <w:i/>
          <w:iCs/>
          <w:sz w:val="23"/>
          <w:szCs w:val="23"/>
        </w:rPr>
        <w:t>centre</w:t>
      </w:r>
      <w:proofErr w:type="spellEnd"/>
      <w:r>
        <w:rPr>
          <w:i/>
          <w:iCs/>
          <w:sz w:val="23"/>
          <w:szCs w:val="23"/>
        </w:rPr>
        <w:t xml:space="preserve"> and its location at one point of the National Triangle, Griffin’s major organizing element of the Central National Area. </w:t>
      </w:r>
    </w:p>
    <w:p w:rsidR="00AD7EC9" w:rsidRDefault="00AD7EC9">
      <w:pPr>
        <w:pStyle w:val="CM11"/>
        <w:spacing w:after="222" w:line="276" w:lineRule="atLeast"/>
        <w:jc w:val="both"/>
        <w:rPr>
          <w:sz w:val="23"/>
          <w:szCs w:val="23"/>
        </w:rPr>
      </w:pPr>
      <w:r>
        <w:rPr>
          <w:b/>
          <w:bCs/>
          <w:i/>
          <w:iCs/>
          <w:sz w:val="23"/>
          <w:szCs w:val="23"/>
        </w:rPr>
        <w:t xml:space="preserve">4.5.4.2 Policies for Civic </w:t>
      </w:r>
    </w:p>
    <w:p w:rsidR="00AD7EC9" w:rsidRDefault="00AD7EC9">
      <w:pPr>
        <w:pStyle w:val="CM11"/>
        <w:spacing w:after="280" w:line="276" w:lineRule="atLeast"/>
        <w:jc w:val="both"/>
        <w:rPr>
          <w:sz w:val="23"/>
          <w:szCs w:val="23"/>
        </w:rPr>
      </w:pPr>
      <w:r>
        <w:rPr>
          <w:i/>
          <w:iCs/>
          <w:sz w:val="23"/>
          <w:szCs w:val="23"/>
        </w:rPr>
        <w:t xml:space="preserve">The following Policies shall apply within those areas of Civic identified in Figure 21: </w:t>
      </w:r>
    </w:p>
    <w:p w:rsidR="00AD7EC9" w:rsidRPr="00126F78" w:rsidRDefault="00AD7EC9" w:rsidP="00126F78">
      <w:pPr>
        <w:pStyle w:val="Default"/>
        <w:numPr>
          <w:ilvl w:val="0"/>
          <w:numId w:val="11"/>
        </w:numPr>
        <w:rPr>
          <w:color w:val="auto"/>
          <w:sz w:val="23"/>
          <w:szCs w:val="23"/>
        </w:rPr>
      </w:pPr>
      <w:r>
        <w:rPr>
          <w:i/>
          <w:iCs/>
          <w:color w:val="auto"/>
          <w:sz w:val="23"/>
          <w:szCs w:val="23"/>
        </w:rPr>
        <w:t xml:space="preserve">Transport and movement </w:t>
      </w:r>
    </w:p>
    <w:p w:rsidR="00126F78" w:rsidRDefault="00126F78" w:rsidP="00126F78">
      <w:pPr>
        <w:pStyle w:val="Default"/>
        <w:ind w:left="720"/>
        <w:rPr>
          <w:color w:val="auto"/>
          <w:sz w:val="23"/>
          <w:szCs w:val="23"/>
        </w:rPr>
      </w:pPr>
    </w:p>
    <w:p w:rsidR="00AD7EC9" w:rsidRDefault="00AD7EC9" w:rsidP="00126F78">
      <w:pPr>
        <w:pStyle w:val="Default"/>
        <w:ind w:left="1080"/>
        <w:rPr>
          <w:i/>
          <w:iCs/>
          <w:color w:val="auto"/>
          <w:sz w:val="23"/>
          <w:szCs w:val="23"/>
        </w:rPr>
      </w:pPr>
      <w:r>
        <w:rPr>
          <w:i/>
          <w:iCs/>
          <w:color w:val="auto"/>
          <w:sz w:val="23"/>
          <w:szCs w:val="23"/>
        </w:rPr>
        <w:t xml:space="preserve">Long term impacts of development shall be taken into account. Measures for discouraging through traffic from using the Civic road network in peak periods must be considered. Future demand for car parking should be met by the construction of structured car parks in locations that service needs throughout Civic while aiming to </w:t>
      </w:r>
      <w:proofErr w:type="spellStart"/>
      <w:r>
        <w:rPr>
          <w:i/>
          <w:iCs/>
          <w:color w:val="auto"/>
          <w:sz w:val="23"/>
          <w:szCs w:val="23"/>
        </w:rPr>
        <w:t>minimise</w:t>
      </w:r>
      <w:proofErr w:type="spellEnd"/>
      <w:r>
        <w:rPr>
          <w:i/>
          <w:iCs/>
          <w:color w:val="auto"/>
          <w:sz w:val="23"/>
          <w:szCs w:val="23"/>
        </w:rPr>
        <w:t xml:space="preserve"> congestion, and/or by on-site provision of parking spaces. Vehicle access and traffic management throughout the area should seek to maintain the ease and comfort of moving around the city, catering to a diversity of pedestrian, cycle, vehicular and public transport modes. </w:t>
      </w:r>
    </w:p>
    <w:p w:rsidR="00126F78" w:rsidRDefault="00126F78" w:rsidP="00126F78">
      <w:pPr>
        <w:pStyle w:val="Default"/>
        <w:ind w:left="1080"/>
        <w:rPr>
          <w:color w:val="auto"/>
          <w:sz w:val="23"/>
          <w:szCs w:val="23"/>
        </w:rPr>
      </w:pPr>
    </w:p>
    <w:p w:rsidR="00AD7EC9" w:rsidRPr="00126F78" w:rsidRDefault="00AD7EC9" w:rsidP="00126F78">
      <w:pPr>
        <w:pStyle w:val="Default"/>
        <w:numPr>
          <w:ilvl w:val="0"/>
          <w:numId w:val="11"/>
        </w:numPr>
        <w:rPr>
          <w:color w:val="auto"/>
          <w:sz w:val="23"/>
          <w:szCs w:val="23"/>
        </w:rPr>
      </w:pPr>
      <w:r>
        <w:rPr>
          <w:i/>
          <w:iCs/>
          <w:color w:val="auto"/>
          <w:sz w:val="23"/>
          <w:szCs w:val="23"/>
        </w:rPr>
        <w:t xml:space="preserve">Urban Design </w:t>
      </w:r>
    </w:p>
    <w:p w:rsidR="00126F78" w:rsidRDefault="00126F78" w:rsidP="00126F78">
      <w:pPr>
        <w:pStyle w:val="Default"/>
        <w:ind w:left="720"/>
        <w:rPr>
          <w:color w:val="auto"/>
          <w:sz w:val="23"/>
          <w:szCs w:val="23"/>
        </w:rPr>
      </w:pPr>
    </w:p>
    <w:p w:rsidR="00AD7EC9" w:rsidRPr="00126F78" w:rsidRDefault="00AD7EC9" w:rsidP="00126F78">
      <w:pPr>
        <w:pStyle w:val="Default"/>
        <w:numPr>
          <w:ilvl w:val="0"/>
          <w:numId w:val="12"/>
        </w:numPr>
        <w:rPr>
          <w:color w:val="auto"/>
          <w:sz w:val="23"/>
          <w:szCs w:val="23"/>
        </w:rPr>
      </w:pPr>
      <w:r>
        <w:rPr>
          <w:i/>
          <w:iCs/>
          <w:color w:val="auto"/>
          <w:sz w:val="23"/>
          <w:szCs w:val="23"/>
        </w:rPr>
        <w:t>The symbolic importance of the Main Avenues radiating from City Hill (</w:t>
      </w:r>
      <w:proofErr w:type="spellStart"/>
      <w:r>
        <w:rPr>
          <w:i/>
          <w:iCs/>
          <w:color w:val="auto"/>
          <w:sz w:val="23"/>
          <w:szCs w:val="23"/>
        </w:rPr>
        <w:t>Northbourne</w:t>
      </w:r>
      <w:proofErr w:type="spellEnd"/>
      <w:r>
        <w:rPr>
          <w:i/>
          <w:iCs/>
          <w:color w:val="auto"/>
          <w:sz w:val="23"/>
          <w:szCs w:val="23"/>
        </w:rPr>
        <w:t xml:space="preserve">, Ainslie, Constitution, Edinburgh and University Avenues) and their role as the main public transport corridors should be complimented through the landscape and architectural treatment on abutting blocks. </w:t>
      </w:r>
    </w:p>
    <w:p w:rsidR="00126F78" w:rsidRDefault="00126F78" w:rsidP="00126F78">
      <w:pPr>
        <w:pStyle w:val="Default"/>
        <w:ind w:left="1080"/>
        <w:rPr>
          <w:color w:val="auto"/>
          <w:sz w:val="23"/>
          <w:szCs w:val="23"/>
        </w:rPr>
      </w:pPr>
    </w:p>
    <w:p w:rsidR="00AD7EC9" w:rsidRDefault="00AD7EC9" w:rsidP="00126F78">
      <w:pPr>
        <w:pStyle w:val="Default"/>
        <w:numPr>
          <w:ilvl w:val="0"/>
          <w:numId w:val="12"/>
        </w:numPr>
        <w:rPr>
          <w:color w:val="auto"/>
          <w:sz w:val="23"/>
          <w:szCs w:val="23"/>
        </w:rPr>
      </w:pPr>
      <w:r>
        <w:rPr>
          <w:i/>
          <w:iCs/>
          <w:color w:val="auto"/>
          <w:sz w:val="23"/>
          <w:szCs w:val="23"/>
        </w:rPr>
        <w:t xml:space="preserve">The design and development of Civic should continue to reflect the geometry and fine grain pattern of streets and blocks of the Griffin Plan.  </w:t>
      </w:r>
    </w:p>
    <w:p w:rsidR="00AD7EC9" w:rsidRDefault="00AD7EC9">
      <w:pPr>
        <w:pStyle w:val="Default"/>
        <w:rPr>
          <w:color w:val="auto"/>
          <w:sz w:val="23"/>
          <w:szCs w:val="23"/>
        </w:rPr>
      </w:pPr>
    </w:p>
    <w:p w:rsidR="00AD7EC9" w:rsidRDefault="00AD7EC9" w:rsidP="00126F78">
      <w:pPr>
        <w:pStyle w:val="CM11"/>
        <w:pageBreakBefore/>
        <w:numPr>
          <w:ilvl w:val="0"/>
          <w:numId w:val="12"/>
        </w:numPr>
        <w:spacing w:after="280" w:line="276" w:lineRule="atLeast"/>
        <w:rPr>
          <w:sz w:val="23"/>
          <w:szCs w:val="23"/>
        </w:rPr>
      </w:pPr>
      <w:r>
        <w:rPr>
          <w:i/>
          <w:iCs/>
          <w:sz w:val="23"/>
          <w:szCs w:val="23"/>
        </w:rPr>
        <w:lastRenderedPageBreak/>
        <w:t xml:space="preserve">The design and development of streets should provide a continuous planting of large scale street trees and high quality landscape character that fosters a compact, connective and pedestrian-friendly environment for central city living. </w:t>
      </w:r>
    </w:p>
    <w:p w:rsidR="00AD7EC9" w:rsidRDefault="00AD7EC9" w:rsidP="00126F78">
      <w:pPr>
        <w:pStyle w:val="Default"/>
        <w:numPr>
          <w:ilvl w:val="0"/>
          <w:numId w:val="12"/>
        </w:numPr>
        <w:spacing w:after="204"/>
        <w:rPr>
          <w:color w:val="auto"/>
          <w:sz w:val="23"/>
          <w:szCs w:val="23"/>
        </w:rPr>
      </w:pPr>
      <w:r>
        <w:rPr>
          <w:i/>
          <w:iCs/>
          <w:color w:val="auto"/>
          <w:sz w:val="23"/>
          <w:szCs w:val="23"/>
        </w:rPr>
        <w:t xml:space="preserve">The massing, height, </w:t>
      </w:r>
      <w:proofErr w:type="spellStart"/>
      <w:r>
        <w:rPr>
          <w:i/>
          <w:iCs/>
          <w:color w:val="auto"/>
          <w:sz w:val="23"/>
          <w:szCs w:val="23"/>
        </w:rPr>
        <w:t>colours</w:t>
      </w:r>
      <w:proofErr w:type="spellEnd"/>
      <w:r>
        <w:rPr>
          <w:i/>
          <w:iCs/>
          <w:color w:val="auto"/>
          <w:sz w:val="23"/>
          <w:szCs w:val="23"/>
        </w:rPr>
        <w:t xml:space="preserve"> and materials used for buildings in Civic should result in a harmonious and high quality urban design outcome with a </w:t>
      </w:r>
      <w:proofErr w:type="spellStart"/>
      <w:r>
        <w:rPr>
          <w:i/>
          <w:iCs/>
          <w:color w:val="auto"/>
          <w:sz w:val="23"/>
          <w:szCs w:val="23"/>
        </w:rPr>
        <w:t>recognisable</w:t>
      </w:r>
      <w:proofErr w:type="spellEnd"/>
      <w:r>
        <w:rPr>
          <w:i/>
          <w:iCs/>
          <w:color w:val="auto"/>
          <w:sz w:val="23"/>
          <w:szCs w:val="23"/>
        </w:rPr>
        <w:t xml:space="preserve"> city edge. </w:t>
      </w:r>
    </w:p>
    <w:p w:rsidR="00AD7EC9" w:rsidRPr="00126F78" w:rsidRDefault="00AD7EC9" w:rsidP="00126F78">
      <w:pPr>
        <w:pStyle w:val="Default"/>
        <w:numPr>
          <w:ilvl w:val="0"/>
          <w:numId w:val="12"/>
        </w:numPr>
        <w:rPr>
          <w:color w:val="auto"/>
          <w:sz w:val="23"/>
          <w:szCs w:val="23"/>
        </w:rPr>
      </w:pPr>
      <w:r>
        <w:rPr>
          <w:i/>
          <w:iCs/>
          <w:color w:val="auto"/>
          <w:sz w:val="23"/>
          <w:szCs w:val="23"/>
        </w:rPr>
        <w:t xml:space="preserve">Buildings in Civic must be of permanent construction. </w:t>
      </w:r>
    </w:p>
    <w:p w:rsidR="00126F78" w:rsidRDefault="00126F78" w:rsidP="00126F78">
      <w:pPr>
        <w:pStyle w:val="Default"/>
        <w:ind w:left="1080"/>
        <w:rPr>
          <w:color w:val="auto"/>
          <w:sz w:val="23"/>
          <w:szCs w:val="23"/>
        </w:rPr>
      </w:pPr>
    </w:p>
    <w:p w:rsidR="00AD7EC9" w:rsidRDefault="00AD7EC9" w:rsidP="00126F78">
      <w:pPr>
        <w:pStyle w:val="Default"/>
        <w:numPr>
          <w:ilvl w:val="0"/>
          <w:numId w:val="12"/>
        </w:numPr>
        <w:rPr>
          <w:color w:val="auto"/>
          <w:sz w:val="23"/>
          <w:szCs w:val="23"/>
        </w:rPr>
      </w:pPr>
      <w:r>
        <w:rPr>
          <w:i/>
          <w:iCs/>
          <w:color w:val="auto"/>
          <w:sz w:val="23"/>
          <w:szCs w:val="23"/>
        </w:rPr>
        <w:t xml:space="preserve">The height of buildings in Civic may be less than but not more than 9 </w:t>
      </w:r>
      <w:proofErr w:type="spellStart"/>
      <w:r>
        <w:rPr>
          <w:i/>
          <w:iCs/>
          <w:color w:val="auto"/>
          <w:sz w:val="23"/>
          <w:szCs w:val="23"/>
        </w:rPr>
        <w:t>storeys</w:t>
      </w:r>
      <w:proofErr w:type="spellEnd"/>
      <w:r>
        <w:rPr>
          <w:i/>
          <w:iCs/>
          <w:color w:val="auto"/>
          <w:sz w:val="23"/>
          <w:szCs w:val="23"/>
        </w:rPr>
        <w:t xml:space="preserve"> provided that: </w:t>
      </w:r>
    </w:p>
    <w:p w:rsidR="00AD7EC9" w:rsidRDefault="00AD7EC9" w:rsidP="00126F78">
      <w:pPr>
        <w:pStyle w:val="Default"/>
        <w:numPr>
          <w:ilvl w:val="1"/>
          <w:numId w:val="12"/>
        </w:numPr>
        <w:spacing w:after="219"/>
        <w:rPr>
          <w:color w:val="auto"/>
          <w:sz w:val="23"/>
          <w:szCs w:val="23"/>
        </w:rPr>
      </w:pPr>
      <w:r>
        <w:rPr>
          <w:color w:val="auto"/>
          <w:sz w:val="23"/>
          <w:szCs w:val="23"/>
        </w:rPr>
        <w:t xml:space="preserve">• </w:t>
      </w:r>
      <w:r>
        <w:rPr>
          <w:i/>
          <w:iCs/>
          <w:color w:val="auto"/>
          <w:sz w:val="23"/>
          <w:szCs w:val="23"/>
        </w:rPr>
        <w:t xml:space="preserve">plant rooms and other service elements may be allowed above this height subject to being set back from the building edges and screened from street level view. </w:t>
      </w:r>
    </w:p>
    <w:p w:rsidR="00AD7EC9" w:rsidRDefault="00AD7EC9" w:rsidP="00126F78">
      <w:pPr>
        <w:pStyle w:val="Default"/>
        <w:numPr>
          <w:ilvl w:val="1"/>
          <w:numId w:val="12"/>
        </w:numPr>
        <w:spacing w:after="219"/>
        <w:rPr>
          <w:color w:val="auto"/>
          <w:sz w:val="23"/>
          <w:szCs w:val="23"/>
        </w:rPr>
      </w:pPr>
      <w:r>
        <w:rPr>
          <w:color w:val="auto"/>
          <w:sz w:val="23"/>
          <w:szCs w:val="23"/>
        </w:rPr>
        <w:t xml:space="preserve">• </w:t>
      </w:r>
      <w:proofErr w:type="gramStart"/>
      <w:r>
        <w:rPr>
          <w:i/>
          <w:iCs/>
          <w:color w:val="auto"/>
          <w:sz w:val="23"/>
          <w:szCs w:val="23"/>
        </w:rPr>
        <w:t>one</w:t>
      </w:r>
      <w:proofErr w:type="gramEnd"/>
      <w:r>
        <w:rPr>
          <w:i/>
          <w:iCs/>
          <w:color w:val="auto"/>
          <w:sz w:val="23"/>
          <w:szCs w:val="23"/>
        </w:rPr>
        <w:t xml:space="preserve"> or more taller building(s) per section up to a maximum height of RL 617m shall be considered only in accordance with an approved comprehensive design for the whole section. Comprehensive section designs shall seek to use building height to </w:t>
      </w:r>
      <w:proofErr w:type="spellStart"/>
      <w:r>
        <w:rPr>
          <w:i/>
          <w:iCs/>
          <w:color w:val="auto"/>
          <w:sz w:val="23"/>
          <w:szCs w:val="23"/>
        </w:rPr>
        <w:t>emphasise</w:t>
      </w:r>
      <w:proofErr w:type="spellEnd"/>
      <w:r>
        <w:rPr>
          <w:i/>
          <w:iCs/>
          <w:color w:val="auto"/>
          <w:sz w:val="23"/>
          <w:szCs w:val="23"/>
        </w:rPr>
        <w:t xml:space="preserve"> and reinforce the geometry of the Griffin Plan and the symbolic Main Avenues radiating out from City Hill. and </w:t>
      </w:r>
    </w:p>
    <w:p w:rsidR="00AD7EC9" w:rsidRDefault="00AD7EC9" w:rsidP="00126F78">
      <w:pPr>
        <w:pStyle w:val="Default"/>
        <w:numPr>
          <w:ilvl w:val="1"/>
          <w:numId w:val="12"/>
        </w:numPr>
        <w:rPr>
          <w:color w:val="auto"/>
          <w:sz w:val="23"/>
          <w:szCs w:val="23"/>
        </w:rPr>
      </w:pPr>
      <w:proofErr w:type="gramStart"/>
      <w:r>
        <w:rPr>
          <w:i/>
          <w:iCs/>
          <w:color w:val="auto"/>
          <w:sz w:val="23"/>
          <w:szCs w:val="23"/>
        </w:rPr>
        <w:t>where</w:t>
      </w:r>
      <w:proofErr w:type="gramEnd"/>
      <w:r>
        <w:rPr>
          <w:i/>
          <w:iCs/>
          <w:color w:val="auto"/>
          <w:sz w:val="23"/>
          <w:szCs w:val="23"/>
        </w:rPr>
        <w:t xml:space="preserve"> an existing building exceeds the height limitations set out above it shall be permissible to consider rebuilding to the same height as the existing building or lower. </w:t>
      </w:r>
    </w:p>
    <w:p w:rsidR="00AD7EC9" w:rsidRDefault="00AD7EC9">
      <w:pPr>
        <w:pStyle w:val="Default"/>
        <w:rPr>
          <w:color w:val="auto"/>
          <w:sz w:val="23"/>
          <w:szCs w:val="23"/>
        </w:rPr>
      </w:pPr>
    </w:p>
    <w:p w:rsidR="00AD7EC9" w:rsidRDefault="00AD7EC9">
      <w:pPr>
        <w:pStyle w:val="CM11"/>
        <w:spacing w:after="280" w:line="276" w:lineRule="atLeast"/>
        <w:rPr>
          <w:sz w:val="23"/>
          <w:szCs w:val="23"/>
        </w:rPr>
      </w:pPr>
      <w:proofErr w:type="gramStart"/>
      <w:r>
        <w:rPr>
          <w:i/>
          <w:iCs/>
          <w:sz w:val="23"/>
          <w:szCs w:val="23"/>
        </w:rPr>
        <w:t>and</w:t>
      </w:r>
      <w:proofErr w:type="gramEnd"/>
      <w:r>
        <w:rPr>
          <w:i/>
          <w:iCs/>
          <w:sz w:val="23"/>
          <w:szCs w:val="23"/>
        </w:rPr>
        <w:t xml:space="preserve"> </w:t>
      </w:r>
    </w:p>
    <w:p w:rsidR="00AD7EC9" w:rsidRDefault="00AD7EC9" w:rsidP="00126F78">
      <w:pPr>
        <w:pStyle w:val="Default"/>
        <w:numPr>
          <w:ilvl w:val="0"/>
          <w:numId w:val="5"/>
        </w:numPr>
        <w:spacing w:line="276" w:lineRule="atLeast"/>
        <w:rPr>
          <w:color w:val="auto"/>
          <w:sz w:val="23"/>
          <w:szCs w:val="23"/>
        </w:rPr>
      </w:pPr>
      <w:r>
        <w:rPr>
          <w:color w:val="auto"/>
          <w:sz w:val="23"/>
          <w:szCs w:val="23"/>
        </w:rPr>
        <w:t xml:space="preserve">Replacing Figure 20 on page 85 of the Plan with a revised Figure 20 that follows. The revised Figure 20 no longer indicates Special Requirements for the Civic Area. </w:t>
      </w:r>
    </w:p>
    <w:p w:rsidR="00126F78" w:rsidRDefault="00126F78" w:rsidP="00126F78">
      <w:pPr>
        <w:pStyle w:val="Default"/>
        <w:spacing w:line="276" w:lineRule="atLeast"/>
        <w:rPr>
          <w:color w:val="auto"/>
          <w:sz w:val="23"/>
          <w:szCs w:val="23"/>
        </w:rPr>
      </w:pPr>
    </w:p>
    <w:p w:rsidR="00126F78" w:rsidRDefault="00543F29" w:rsidP="00126F78">
      <w:pPr>
        <w:pStyle w:val="Default"/>
        <w:spacing w:line="276" w:lineRule="atLeast"/>
        <w:rPr>
          <w:color w:val="auto"/>
          <w:sz w:val="23"/>
          <w:szCs w:val="23"/>
        </w:rPr>
      </w:pPr>
      <w:r>
        <w:rPr>
          <w:noProof/>
          <w:color w:val="auto"/>
          <w:sz w:val="23"/>
          <w:szCs w:val="23"/>
          <w:lang w:val="en-AU" w:eastAsia="en-AU"/>
        </w:rPr>
        <w:lastRenderedPageBreak/>
        <w:drawing>
          <wp:inline distT="0" distB="0" distL="0" distR="0">
            <wp:extent cx="5181600" cy="7219950"/>
            <wp:effectExtent l="0" t="0" r="0" b="0"/>
            <wp:docPr id="2" name="Picture 2" descr="Figure 20 - Special Requirements" title="Figure 20 - Special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7219950"/>
                    </a:xfrm>
                    <a:prstGeom prst="rect">
                      <a:avLst/>
                    </a:prstGeom>
                    <a:noFill/>
                    <a:ln>
                      <a:noFill/>
                    </a:ln>
                  </pic:spPr>
                </pic:pic>
              </a:graphicData>
            </a:graphic>
          </wp:inline>
        </w:drawing>
      </w:r>
    </w:p>
    <w:p w:rsidR="00126F78" w:rsidRDefault="00126F78" w:rsidP="00126F78">
      <w:pPr>
        <w:pStyle w:val="Default"/>
        <w:spacing w:line="276" w:lineRule="atLeast"/>
        <w:rPr>
          <w:color w:val="auto"/>
          <w:sz w:val="23"/>
          <w:szCs w:val="23"/>
        </w:rPr>
      </w:pPr>
    </w:p>
    <w:p w:rsidR="00126F78" w:rsidRDefault="00543F29" w:rsidP="00126F78">
      <w:pPr>
        <w:pStyle w:val="Default"/>
        <w:spacing w:line="276" w:lineRule="atLeast"/>
        <w:rPr>
          <w:color w:val="auto"/>
          <w:sz w:val="23"/>
          <w:szCs w:val="23"/>
        </w:rPr>
      </w:pPr>
      <w:bookmarkStart w:id="0" w:name="_GoBack"/>
      <w:r>
        <w:rPr>
          <w:noProof/>
          <w:color w:val="auto"/>
          <w:sz w:val="23"/>
          <w:szCs w:val="23"/>
          <w:lang w:val="en-AU" w:eastAsia="en-AU"/>
        </w:rPr>
        <w:lastRenderedPageBreak/>
        <w:drawing>
          <wp:inline distT="0" distB="0" distL="0" distR="0">
            <wp:extent cx="4743450" cy="7439025"/>
            <wp:effectExtent l="0" t="0" r="0" b="9525"/>
            <wp:docPr id="3" name="Picture 3" descr="Figure 21 - Special Requirements for Civic" title="Figure 21 - Special Requirements for Ci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7439025"/>
                    </a:xfrm>
                    <a:prstGeom prst="rect">
                      <a:avLst/>
                    </a:prstGeom>
                    <a:noFill/>
                    <a:ln>
                      <a:noFill/>
                    </a:ln>
                  </pic:spPr>
                </pic:pic>
              </a:graphicData>
            </a:graphic>
          </wp:inline>
        </w:drawing>
      </w:r>
      <w:bookmarkEnd w:id="0"/>
    </w:p>
    <w:sectPr w:rsidR="00126F78" w:rsidSect="00126F78">
      <w:pgSz w:w="11907" w:h="16840" w:code="9"/>
      <w:pgMar w:top="1701" w:right="1418" w:bottom="1134" w:left="1418"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F908D"/>
    <w:multiLevelType w:val="hybridMultilevel"/>
    <w:tmpl w:val="B5F333F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236F20"/>
    <w:multiLevelType w:val="hybridMultilevel"/>
    <w:tmpl w:val="2720A42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A1BA6"/>
    <w:multiLevelType w:val="hybridMultilevel"/>
    <w:tmpl w:val="6994D9A2"/>
    <w:lvl w:ilvl="0" w:tplc="99B6425E">
      <w:start w:val="1"/>
      <w:numFmt w:val="lowerLetter"/>
      <w:lvlText w:val="(%1)"/>
      <w:lvlJc w:val="left"/>
      <w:pPr>
        <w:tabs>
          <w:tab w:val="num" w:pos="1080"/>
        </w:tabs>
        <w:ind w:left="1080" w:hanging="360"/>
      </w:pPr>
      <w:rPr>
        <w:rFonts w:hint="default"/>
        <w:i/>
        <w:i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B196CC0"/>
    <w:multiLevelType w:val="hybridMultilevel"/>
    <w:tmpl w:val="1D4660CC"/>
    <w:lvl w:ilvl="0" w:tplc="C3DA326A">
      <w:start w:val="1"/>
      <w:numFmt w:val="lowerRoman"/>
      <w:lvlText w:val="(%1)"/>
      <w:lvlJc w:val="left"/>
      <w:pPr>
        <w:tabs>
          <w:tab w:val="num" w:pos="1080"/>
        </w:tabs>
        <w:ind w:left="1080" w:hanging="720"/>
      </w:pPr>
      <w:rPr>
        <w:rFonts w:hint="default"/>
      </w:rPr>
    </w:lvl>
    <w:lvl w:ilvl="1" w:tplc="0DA02A48">
      <w:start w:val="1"/>
      <w:numFmt w:val="bullet"/>
      <w:lvlText w:val=""/>
      <w:lvlJc w:val="left"/>
      <w:pPr>
        <w:tabs>
          <w:tab w:val="num" w:pos="1440"/>
        </w:tabs>
        <w:ind w:left="1440" w:hanging="360"/>
      </w:pPr>
      <w:rPr>
        <w:rFonts w:ascii="Wingdings" w:hAnsi="Wingdings" w:cs="Wingdings" w:hint="default"/>
        <w:sz w:val="16"/>
        <w:szCs w:val="16"/>
      </w:rPr>
    </w:lvl>
    <w:lvl w:ilvl="2" w:tplc="DF94B730">
      <w:start w:val="1"/>
      <w:numFmt w:val="lowerLetter"/>
      <w:lvlText w:val="%3)"/>
      <w:lvlJc w:val="left"/>
      <w:pPr>
        <w:tabs>
          <w:tab w:val="num" w:pos="2340"/>
        </w:tabs>
        <w:ind w:left="2340" w:hanging="360"/>
      </w:pPr>
      <w:rPr>
        <w:rFonts w:hint="default"/>
        <w:i/>
        <w:i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A15D8F"/>
    <w:multiLevelType w:val="hybridMultilevel"/>
    <w:tmpl w:val="F40ADBC0"/>
    <w:lvl w:ilvl="0" w:tplc="C3DA326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B9D8742"/>
    <w:multiLevelType w:val="hybridMultilevel"/>
    <w:tmpl w:val="DD0CA36A"/>
    <w:lvl w:ilvl="0" w:tplc="FFFFFFFF">
      <w:start w:val="1"/>
      <w:numFmt w:val="ideographDigital"/>
      <w:lvlText w:val=""/>
      <w:lvlJc w:val="left"/>
    </w:lvl>
    <w:lvl w:ilvl="1" w:tplc="FFFFFFFF">
      <w:start w:val="1"/>
      <w:numFmt w:val="ideographDigital"/>
      <w:lvlText w:val=""/>
      <w:lvlJc w:val="left"/>
    </w:lvl>
    <w:lvl w:ilvl="2" w:tplc="E4476786">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E40263C"/>
    <w:multiLevelType w:val="hybridMultilevel"/>
    <w:tmpl w:val="0930B7FC"/>
    <w:lvl w:ilvl="0" w:tplc="25FEFA88">
      <w:start w:val="1"/>
      <w:numFmt w:val="lowerRoman"/>
      <w:lvlText w:val="(%1)"/>
      <w:lvlJc w:val="left"/>
      <w:pPr>
        <w:tabs>
          <w:tab w:val="num" w:pos="1440"/>
        </w:tabs>
        <w:ind w:left="1440" w:hanging="720"/>
      </w:pPr>
      <w:rPr>
        <w:rFonts w:hint="default"/>
        <w:i/>
        <w:i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7842B2B"/>
    <w:multiLevelType w:val="hybridMultilevel"/>
    <w:tmpl w:val="B816D9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A8F5A35"/>
    <w:multiLevelType w:val="hybridMultilevel"/>
    <w:tmpl w:val="DE6EDD5A"/>
    <w:lvl w:ilvl="0" w:tplc="C3DA326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B0C2332"/>
    <w:multiLevelType w:val="hybridMultilevel"/>
    <w:tmpl w:val="DB0CFF84"/>
    <w:lvl w:ilvl="0" w:tplc="DCDA4E3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31C52B8"/>
    <w:multiLevelType w:val="hybridMultilevel"/>
    <w:tmpl w:val="6E088F02"/>
    <w:lvl w:ilvl="0" w:tplc="C3DA326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5BE2A2B"/>
    <w:multiLevelType w:val="hybridMultilevel"/>
    <w:tmpl w:val="7EE8EACC"/>
    <w:lvl w:ilvl="0" w:tplc="25FEFA88">
      <w:start w:val="1"/>
      <w:numFmt w:val="lowerRoman"/>
      <w:lvlText w:val="(%1)"/>
      <w:lvlJc w:val="left"/>
      <w:pPr>
        <w:tabs>
          <w:tab w:val="num" w:pos="1800"/>
        </w:tabs>
        <w:ind w:left="1800" w:hanging="720"/>
      </w:pPr>
      <w:rPr>
        <w:rFonts w:hint="default"/>
        <w:i/>
        <w:iCs/>
      </w:rPr>
    </w:lvl>
    <w:lvl w:ilvl="1" w:tplc="0DA02A48">
      <w:start w:val="1"/>
      <w:numFmt w:val="bullet"/>
      <w:lvlText w:val=""/>
      <w:lvlJc w:val="left"/>
      <w:pPr>
        <w:tabs>
          <w:tab w:val="num" w:pos="2160"/>
        </w:tabs>
        <w:ind w:left="2160" w:hanging="360"/>
      </w:pPr>
      <w:rPr>
        <w:rFonts w:ascii="Wingdings" w:hAnsi="Wingdings" w:cs="Wingdings" w:hint="default"/>
        <w:i/>
        <w:iCs/>
        <w:sz w:val="16"/>
        <w:szCs w:val="16"/>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nsid w:val="73B24AAA"/>
    <w:multiLevelType w:val="hybridMultilevel"/>
    <w:tmpl w:val="ABD8F150"/>
    <w:lvl w:ilvl="0" w:tplc="DCDA4E3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num>
  <w:num w:numId="2">
    <w:abstractNumId w:val="1"/>
  </w:num>
  <w:num w:numId="3">
    <w:abstractNumId w:val="5"/>
  </w:num>
  <w:num w:numId="4">
    <w:abstractNumId w:val="7"/>
  </w:num>
  <w:num w:numId="5">
    <w:abstractNumId w:val="12"/>
  </w:num>
  <w:num w:numId="6">
    <w:abstractNumId w:val="3"/>
  </w:num>
  <w:num w:numId="7">
    <w:abstractNumId w:val="10"/>
  </w:num>
  <w:num w:numId="8">
    <w:abstractNumId w:val="8"/>
  </w:num>
  <w:num w:numId="9">
    <w:abstractNumId w:val="9"/>
  </w:num>
  <w:num w:numId="10">
    <w:abstractNumId w:val="4"/>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67"/>
    <w:rsid w:val="00126F78"/>
    <w:rsid w:val="00543F29"/>
    <w:rsid w:val="006427CB"/>
    <w:rsid w:val="00AD7EC9"/>
    <w:rsid w:val="00C31867"/>
    <w:rsid w:val="00F84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11">
    <w:name w:val="CM11"/>
    <w:basedOn w:val="Default"/>
    <w:next w:val="Default"/>
    <w:uiPriority w:val="99"/>
    <w:rPr>
      <w:color w:val="auto"/>
    </w:rPr>
  </w:style>
  <w:style w:type="paragraph" w:customStyle="1" w:styleId="CM2">
    <w:name w:val="CM2"/>
    <w:basedOn w:val="Default"/>
    <w:next w:val="Default"/>
    <w:uiPriority w:val="99"/>
    <w:pPr>
      <w:spacing w:line="323"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9">
    <w:name w:val="CM9"/>
    <w:basedOn w:val="Default"/>
    <w:next w:val="Default"/>
    <w:uiPriority w:val="99"/>
    <w:pPr>
      <w:spacing w:line="276" w:lineRule="atLeast"/>
    </w:pPr>
    <w:rPr>
      <w:color w:val="auto"/>
    </w:rPr>
  </w:style>
  <w:style w:type="paragraph" w:styleId="BalloonText">
    <w:name w:val="Balloon Text"/>
    <w:basedOn w:val="Normal"/>
    <w:link w:val="BalloonTextChar"/>
    <w:uiPriority w:val="99"/>
    <w:semiHidden/>
    <w:unhideWhenUsed/>
    <w:rsid w:val="00543F29"/>
    <w:rPr>
      <w:rFonts w:ascii="Tahoma" w:hAnsi="Tahoma" w:cs="Tahoma"/>
      <w:sz w:val="16"/>
      <w:szCs w:val="16"/>
    </w:rPr>
  </w:style>
  <w:style w:type="character" w:customStyle="1" w:styleId="BalloonTextChar">
    <w:name w:val="Balloon Text Char"/>
    <w:basedOn w:val="DefaultParagraphFont"/>
    <w:link w:val="BalloonText"/>
    <w:uiPriority w:val="99"/>
    <w:semiHidden/>
    <w:rsid w:val="00543F2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11">
    <w:name w:val="CM11"/>
    <w:basedOn w:val="Default"/>
    <w:next w:val="Default"/>
    <w:uiPriority w:val="99"/>
    <w:rPr>
      <w:color w:val="auto"/>
    </w:rPr>
  </w:style>
  <w:style w:type="paragraph" w:customStyle="1" w:styleId="CM2">
    <w:name w:val="CM2"/>
    <w:basedOn w:val="Default"/>
    <w:next w:val="Default"/>
    <w:uiPriority w:val="99"/>
    <w:pPr>
      <w:spacing w:line="323"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9">
    <w:name w:val="CM9"/>
    <w:basedOn w:val="Default"/>
    <w:next w:val="Default"/>
    <w:uiPriority w:val="99"/>
    <w:pPr>
      <w:spacing w:line="276" w:lineRule="atLeast"/>
    </w:pPr>
    <w:rPr>
      <w:color w:val="auto"/>
    </w:rPr>
  </w:style>
  <w:style w:type="paragraph" w:styleId="BalloonText">
    <w:name w:val="Balloon Text"/>
    <w:basedOn w:val="Normal"/>
    <w:link w:val="BalloonTextChar"/>
    <w:uiPriority w:val="99"/>
    <w:semiHidden/>
    <w:unhideWhenUsed/>
    <w:rsid w:val="00543F29"/>
    <w:rPr>
      <w:rFonts w:ascii="Tahoma" w:hAnsi="Tahoma" w:cs="Tahoma"/>
      <w:sz w:val="16"/>
      <w:szCs w:val="16"/>
    </w:rPr>
  </w:style>
  <w:style w:type="character" w:customStyle="1" w:styleId="BalloonTextChar">
    <w:name w:val="Balloon Text Char"/>
    <w:basedOn w:val="DefaultParagraphFont"/>
    <w:link w:val="BalloonText"/>
    <w:uiPriority w:val="99"/>
    <w:semiHidden/>
    <w:rsid w:val="00543F2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E014598A.dotm</Template>
  <TotalTime>0</TotalTime>
  <Pages>6</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Amdt_49.doc</vt:lpstr>
    </vt:vector>
  </TitlesOfParts>
  <Company>National Capital Authority</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Amdt_49.doc</dc:title>
  <dc:creator>kucheld</dc:creator>
  <cp:lastModifiedBy>Pedro Fortunato</cp:lastModifiedBy>
  <cp:revision>2</cp:revision>
  <dcterms:created xsi:type="dcterms:W3CDTF">2013-09-27T05:57:00Z</dcterms:created>
  <dcterms:modified xsi:type="dcterms:W3CDTF">2013-09-27T05:57:00Z</dcterms:modified>
</cp:coreProperties>
</file>