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87" w:rsidRPr="0023603C" w:rsidRDefault="00451D87">
      <w:pPr>
        <w:pStyle w:val="AS"/>
      </w:pPr>
      <w:r w:rsidRPr="0023603C">
        <w:rPr>
          <w:rStyle w:val="CharSchNo"/>
        </w:rPr>
        <w:t>Schedule 1</w:t>
      </w:r>
      <w:r w:rsidRPr="0023603C">
        <w:tab/>
      </w:r>
      <w:r w:rsidR="00182977" w:rsidRPr="0023603C">
        <w:rPr>
          <w:rStyle w:val="CharSchText"/>
        </w:rPr>
        <w:t>Amendment</w:t>
      </w:r>
    </w:p>
    <w:p w:rsidR="00451D87" w:rsidRPr="0023603C" w:rsidRDefault="00451D87">
      <w:pPr>
        <w:pStyle w:val="ASref"/>
      </w:pPr>
      <w:r w:rsidRPr="0023603C">
        <w:t>(</w:t>
      </w:r>
      <w:proofErr w:type="gramStart"/>
      <w:r w:rsidRPr="0023603C">
        <w:t>section</w:t>
      </w:r>
      <w:proofErr w:type="gramEnd"/>
      <w:r w:rsidRPr="0023603C">
        <w:t xml:space="preserve"> 3)</w:t>
      </w:r>
    </w:p>
    <w:p w:rsidR="00F55498" w:rsidRPr="0023603C" w:rsidRDefault="00F55498" w:rsidP="00F55498">
      <w:pPr>
        <w:pStyle w:val="Header"/>
        <w:keepNext/>
      </w:pPr>
      <w:r w:rsidRPr="0023603C">
        <w:rPr>
          <w:rStyle w:val="CharAmSchPTNo"/>
        </w:rPr>
        <w:t xml:space="preserve"> </w:t>
      </w:r>
      <w:r w:rsidRPr="0023603C">
        <w:rPr>
          <w:rStyle w:val="CharAmSchPTText"/>
        </w:rPr>
        <w:t xml:space="preserve"> </w:t>
      </w:r>
    </w:p>
    <w:p w:rsidR="00451D87" w:rsidRPr="0023603C" w:rsidRDefault="00773924">
      <w:pPr>
        <w:pStyle w:val="A1S"/>
      </w:pPr>
      <w:r>
        <w:t>The National Capital Plan is amended by the following:</w:t>
      </w:r>
    </w:p>
    <w:p w:rsidR="00773924" w:rsidRPr="00773924" w:rsidRDefault="00773924" w:rsidP="00773924">
      <w:pPr>
        <w:pStyle w:val="HEADING20"/>
        <w:rPr>
          <w:rFonts w:ascii="Arial" w:hAnsi="Arial" w:cs="Arial"/>
          <w:color w:val="auto"/>
        </w:rPr>
      </w:pPr>
      <w:r w:rsidRPr="00773924">
        <w:rPr>
          <w:rFonts w:ascii="Arial" w:hAnsi="Arial" w:cs="Arial"/>
          <w:color w:val="auto"/>
        </w:rPr>
        <w:t>Introduction</w:t>
      </w:r>
    </w:p>
    <w:p w:rsidR="00773924" w:rsidRPr="00773924" w:rsidRDefault="00773924" w:rsidP="00773924">
      <w:pPr>
        <w:pStyle w:val="HEADING30"/>
        <w:ind w:left="0" w:firstLine="0"/>
        <w:rPr>
          <w:rFonts w:ascii="Arial" w:hAnsi="Arial" w:cs="Arial"/>
          <w:color w:val="auto"/>
          <w:spacing w:val="-3"/>
        </w:rPr>
      </w:pPr>
      <w:r>
        <w:rPr>
          <w:rFonts w:ascii="Arial" w:hAnsi="Arial" w:cs="Arial"/>
          <w:color w:val="auto"/>
          <w:spacing w:val="-3"/>
        </w:rPr>
        <w:t xml:space="preserve">Part One - Principles, </w:t>
      </w:r>
      <w:r w:rsidRPr="00773924">
        <w:rPr>
          <w:rFonts w:ascii="Arial" w:hAnsi="Arial" w:cs="Arial"/>
          <w:color w:val="auto"/>
          <w:spacing w:val="-3"/>
        </w:rPr>
        <w:t>Poli</w:t>
      </w:r>
      <w:r>
        <w:rPr>
          <w:rFonts w:ascii="Arial" w:hAnsi="Arial" w:cs="Arial"/>
          <w:color w:val="auto"/>
          <w:spacing w:val="-3"/>
        </w:rPr>
        <w:t xml:space="preserve">cies and Standards, Designated Areas, Special </w:t>
      </w:r>
      <w:r w:rsidRPr="00773924">
        <w:rPr>
          <w:rFonts w:ascii="Arial" w:hAnsi="Arial" w:cs="Arial"/>
          <w:color w:val="auto"/>
          <w:spacing w:val="-3"/>
        </w:rPr>
        <w:t>Requirements</w:t>
      </w:r>
    </w:p>
    <w:p w:rsidR="00773924" w:rsidRPr="00773924" w:rsidRDefault="00773924" w:rsidP="00773924">
      <w:pPr>
        <w:pStyle w:val="Head4"/>
        <w:rPr>
          <w:rFonts w:ascii="Arial" w:hAnsi="Arial" w:cs="Arial"/>
          <w:color w:val="auto"/>
        </w:rPr>
      </w:pPr>
      <w:r w:rsidRPr="00773924">
        <w:rPr>
          <w:rFonts w:ascii="Arial" w:hAnsi="Arial" w:cs="Arial"/>
          <w:color w:val="auto"/>
        </w:rPr>
        <w:t>1.</w:t>
      </w:r>
      <w:r w:rsidRPr="00773924">
        <w:rPr>
          <w:rFonts w:ascii="Arial" w:hAnsi="Arial" w:cs="Arial"/>
          <w:color w:val="auto"/>
        </w:rPr>
        <w:tab/>
        <w:t>The Central National Area</w:t>
      </w:r>
    </w:p>
    <w:p w:rsidR="00773924" w:rsidRDefault="00773924" w:rsidP="00773924">
      <w:pPr>
        <w:pStyle w:val="Head4"/>
        <w:rPr>
          <w:rFonts w:ascii="Arial" w:hAnsi="Arial" w:cs="Arial"/>
          <w:caps w:val="0"/>
          <w:color w:val="auto"/>
        </w:rPr>
      </w:pPr>
      <w:r w:rsidRPr="00773924">
        <w:rPr>
          <w:rFonts w:ascii="Arial" w:hAnsi="Arial" w:cs="Arial"/>
          <w:caps w:val="0"/>
          <w:color w:val="auto"/>
        </w:rPr>
        <w:t>a)</w:t>
      </w:r>
      <w:r w:rsidRPr="00773924">
        <w:rPr>
          <w:rFonts w:ascii="Arial" w:hAnsi="Arial" w:cs="Arial"/>
          <w:caps w:val="0"/>
          <w:color w:val="auto"/>
        </w:rPr>
        <w:tab/>
        <w:t xml:space="preserve">Delete the existing Figure 8 </w:t>
      </w:r>
      <w:proofErr w:type="gramStart"/>
      <w:r w:rsidRPr="00773924">
        <w:rPr>
          <w:rFonts w:ascii="Arial" w:hAnsi="Arial" w:cs="Arial"/>
          <w:caps w:val="0"/>
          <w:color w:val="auto"/>
        </w:rPr>
        <w:t>The</w:t>
      </w:r>
      <w:proofErr w:type="gramEnd"/>
      <w:r w:rsidRPr="00773924">
        <w:rPr>
          <w:rFonts w:ascii="Arial" w:hAnsi="Arial" w:cs="Arial"/>
          <w:caps w:val="0"/>
          <w:color w:val="auto"/>
        </w:rPr>
        <w:t xml:space="preserve"> Central National Area (Barton) and substitute the following Figure 8 The Central National Area (Barton). </w:t>
      </w:r>
    </w:p>
    <w:p w:rsidR="003E3CC1" w:rsidRDefault="00736C5F" w:rsidP="00773924">
      <w:pPr>
        <w:pStyle w:val="Head4"/>
        <w:rPr>
          <w:rFonts w:ascii="Arial" w:hAnsi="Arial" w:cs="Arial"/>
          <w:caps w:val="0"/>
          <w:color w:val="auto"/>
        </w:rPr>
      </w:pPr>
      <w:r>
        <w:rPr>
          <w:rFonts w:ascii="Arial" w:hAnsi="Arial" w:cs="Arial"/>
          <w:caps w:val="0"/>
          <w:noProof/>
          <w:color w:val="auto"/>
          <w:lang w:val="en-AU"/>
        </w:rPr>
        <w:drawing>
          <wp:inline distT="0" distB="0" distL="0" distR="0">
            <wp:extent cx="5276850" cy="4467225"/>
            <wp:effectExtent l="0" t="0" r="0" b="9525"/>
            <wp:docPr id="1" name="Picture 1" descr="Figure 8 The Central National Area (Barton" title="Figure 8 The Central National Area (Ba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4467225"/>
                    </a:xfrm>
                    <a:prstGeom prst="rect">
                      <a:avLst/>
                    </a:prstGeom>
                    <a:noFill/>
                    <a:ln>
                      <a:noFill/>
                    </a:ln>
                  </pic:spPr>
                </pic:pic>
              </a:graphicData>
            </a:graphic>
          </wp:inline>
        </w:drawing>
      </w:r>
    </w:p>
    <w:p w:rsidR="00773924" w:rsidRPr="00773924" w:rsidRDefault="00773924" w:rsidP="00773924">
      <w:pPr>
        <w:pStyle w:val="Head4"/>
        <w:rPr>
          <w:rFonts w:ascii="Arial" w:hAnsi="Arial" w:cs="Arial"/>
          <w:color w:val="auto"/>
        </w:rPr>
      </w:pPr>
      <w:r w:rsidRPr="00773924">
        <w:rPr>
          <w:rFonts w:ascii="Arial" w:hAnsi="Arial" w:cs="Arial"/>
          <w:caps w:val="0"/>
          <w:color w:val="auto"/>
        </w:rPr>
        <w:t>b)</w:t>
      </w:r>
      <w:r w:rsidRPr="00773924">
        <w:rPr>
          <w:rFonts w:ascii="Arial" w:hAnsi="Arial" w:cs="Arial"/>
          <w:caps w:val="0"/>
          <w:color w:val="auto"/>
        </w:rPr>
        <w:tab/>
        <w:t>Delete Schedule B – Block 13 Section 9 Barton, and substitute the following Schedule B:</w:t>
      </w:r>
    </w:p>
    <w:p w:rsidR="003E3CC1" w:rsidRPr="00773924" w:rsidRDefault="00773924" w:rsidP="003E3CC1">
      <w:pPr>
        <w:pStyle w:val="Head5"/>
        <w:rPr>
          <w:rFonts w:ascii="Arial" w:hAnsi="Arial" w:cs="Arial"/>
          <w:b/>
          <w:color w:val="auto"/>
        </w:rPr>
      </w:pPr>
      <w:r w:rsidRPr="00773924">
        <w:rPr>
          <w:rFonts w:ascii="Arial" w:hAnsi="Arial" w:cs="Arial"/>
          <w:b/>
          <w:color w:val="auto"/>
        </w:rPr>
        <w:lastRenderedPageBreak/>
        <w:t xml:space="preserve">Blocks 12 &amp; 13 Section 9 Barton </w:t>
      </w:r>
    </w:p>
    <w:p w:rsidR="00773924" w:rsidRPr="00773924" w:rsidRDefault="00773924" w:rsidP="00773924">
      <w:pPr>
        <w:pStyle w:val="Head5"/>
        <w:rPr>
          <w:rFonts w:ascii="Arial" w:hAnsi="Arial" w:cs="Arial"/>
          <w:b/>
          <w:color w:val="auto"/>
        </w:rPr>
      </w:pPr>
      <w:r w:rsidRPr="00773924">
        <w:rPr>
          <w:rFonts w:ascii="Arial" w:hAnsi="Arial" w:cs="Arial"/>
          <w:b/>
          <w:color w:val="auto"/>
        </w:rPr>
        <w:t xml:space="preserve">Objective </w:t>
      </w:r>
    </w:p>
    <w:p w:rsidR="00773924" w:rsidRPr="00773924" w:rsidRDefault="00773924" w:rsidP="00773924">
      <w:pPr>
        <w:pStyle w:val="BODY"/>
        <w:rPr>
          <w:rFonts w:ascii="Arial" w:hAnsi="Arial" w:cs="Arial"/>
          <w:color w:val="auto"/>
        </w:rPr>
      </w:pPr>
      <w:r w:rsidRPr="00773924">
        <w:rPr>
          <w:rFonts w:ascii="Arial" w:hAnsi="Arial" w:cs="Arial"/>
          <w:color w:val="auto"/>
        </w:rPr>
        <w:t>The objective of the land use policy for the sites is to provide an opportunity for the development of mixed use facilities, including office, retail and residential, incorporating a car parking structure and active street frontages.</w:t>
      </w:r>
    </w:p>
    <w:p w:rsidR="00773924" w:rsidRPr="00773924" w:rsidRDefault="00773924" w:rsidP="00773924">
      <w:pPr>
        <w:pStyle w:val="Head5"/>
        <w:rPr>
          <w:rFonts w:ascii="Arial" w:hAnsi="Arial" w:cs="Arial"/>
          <w:b/>
          <w:color w:val="auto"/>
        </w:rPr>
      </w:pPr>
      <w:r w:rsidRPr="00773924">
        <w:rPr>
          <w:rFonts w:ascii="Arial" w:hAnsi="Arial" w:cs="Arial"/>
          <w:b/>
          <w:color w:val="auto"/>
        </w:rPr>
        <w:t xml:space="preserve">Principles and Policies </w:t>
      </w:r>
    </w:p>
    <w:p w:rsidR="00773924" w:rsidRPr="00773924" w:rsidRDefault="00773924" w:rsidP="00773924">
      <w:pPr>
        <w:pStyle w:val="BULLETS"/>
        <w:ind w:left="0" w:firstLine="0"/>
        <w:rPr>
          <w:rFonts w:ascii="Arial" w:hAnsi="Arial" w:cs="Arial"/>
          <w:color w:val="auto"/>
        </w:rPr>
      </w:pPr>
      <w:r w:rsidRPr="00773924">
        <w:rPr>
          <w:rFonts w:ascii="Arial" w:hAnsi="Arial" w:cs="Arial"/>
          <w:color w:val="auto"/>
        </w:rPr>
        <w:t>Promote a range of land uses including Office, Residential, Retail, Café and Restaurant which contribute to the vibrancy, amenity and convenience of Barton as an attractive place in which to work and live.</w:t>
      </w:r>
    </w:p>
    <w:p w:rsidR="00773924" w:rsidRPr="00773924" w:rsidRDefault="00773924" w:rsidP="00773924">
      <w:pPr>
        <w:pStyle w:val="BULLETS"/>
        <w:ind w:left="0" w:firstLine="0"/>
        <w:rPr>
          <w:rFonts w:ascii="Arial" w:hAnsi="Arial" w:cs="Arial"/>
          <w:color w:val="auto"/>
        </w:rPr>
      </w:pPr>
      <w:r w:rsidRPr="00773924">
        <w:rPr>
          <w:rFonts w:ascii="Arial" w:hAnsi="Arial" w:cs="Arial"/>
          <w:color w:val="auto"/>
        </w:rPr>
        <w:t>Provide a prestigious development reflecting the national significance of Barton in the Central National Area.</w:t>
      </w:r>
    </w:p>
    <w:p w:rsidR="00773924" w:rsidRPr="00773924" w:rsidRDefault="00773924" w:rsidP="00773924">
      <w:pPr>
        <w:pStyle w:val="BULLETS"/>
        <w:ind w:left="0" w:firstLine="0"/>
        <w:rPr>
          <w:rFonts w:ascii="Arial" w:hAnsi="Arial" w:cs="Arial"/>
          <w:color w:val="auto"/>
        </w:rPr>
      </w:pPr>
      <w:r w:rsidRPr="00773924">
        <w:rPr>
          <w:rFonts w:ascii="Arial" w:hAnsi="Arial" w:cs="Arial"/>
          <w:color w:val="auto"/>
        </w:rPr>
        <w:t>Provide a scale of development commensurate with the location’s accessibility to nearby infrastructure, cultural attractions and parklands and its location within the Central National Area.</w:t>
      </w:r>
    </w:p>
    <w:p w:rsidR="00773924" w:rsidRPr="00773924" w:rsidRDefault="00773924" w:rsidP="00773924">
      <w:pPr>
        <w:pStyle w:val="BULLETS"/>
        <w:ind w:left="0" w:firstLine="0"/>
        <w:rPr>
          <w:rFonts w:ascii="Arial" w:hAnsi="Arial" w:cs="Arial"/>
          <w:color w:val="auto"/>
        </w:rPr>
      </w:pPr>
      <w:r w:rsidRPr="00773924">
        <w:rPr>
          <w:rFonts w:ascii="Arial" w:hAnsi="Arial" w:cs="Arial"/>
          <w:color w:val="auto"/>
        </w:rPr>
        <w:t>Provide a scale of development that increases private investment in the precinct to deliver public infrastructure including local retail and professional services, café/restaurant establishments, and a parking structure.</w:t>
      </w:r>
    </w:p>
    <w:p w:rsidR="00773924" w:rsidRPr="00773924" w:rsidRDefault="00773924" w:rsidP="00773924">
      <w:pPr>
        <w:pStyle w:val="BULLETS"/>
        <w:ind w:left="0" w:firstLine="0"/>
        <w:rPr>
          <w:rFonts w:ascii="Arial" w:hAnsi="Arial" w:cs="Arial"/>
          <w:color w:val="auto"/>
        </w:rPr>
      </w:pPr>
      <w:r w:rsidRPr="00773924">
        <w:rPr>
          <w:rFonts w:ascii="Arial" w:hAnsi="Arial" w:cs="Arial"/>
          <w:color w:val="auto"/>
        </w:rPr>
        <w:t>Promote environmentally sustainable development including increased pedestrian accessibility and public transport use while reducing dependency on private vehicles.</w:t>
      </w:r>
    </w:p>
    <w:p w:rsidR="00773924" w:rsidRPr="00773924" w:rsidRDefault="00773924" w:rsidP="00773924">
      <w:pPr>
        <w:pStyle w:val="Head5"/>
        <w:rPr>
          <w:rFonts w:ascii="Arial" w:hAnsi="Arial" w:cs="Arial"/>
          <w:b/>
          <w:color w:val="auto"/>
        </w:rPr>
      </w:pPr>
      <w:r w:rsidRPr="00773924">
        <w:rPr>
          <w:rFonts w:ascii="Arial" w:hAnsi="Arial" w:cs="Arial"/>
          <w:b/>
          <w:color w:val="auto"/>
        </w:rPr>
        <w:t>Land Use Policy</w:t>
      </w:r>
    </w:p>
    <w:p w:rsidR="00773924" w:rsidRPr="00773924" w:rsidRDefault="00773924" w:rsidP="00773924">
      <w:pPr>
        <w:pStyle w:val="BODY"/>
        <w:rPr>
          <w:rFonts w:ascii="Arial" w:hAnsi="Arial" w:cs="Arial"/>
          <w:color w:val="auto"/>
        </w:rPr>
      </w:pPr>
      <w:r w:rsidRPr="00773924">
        <w:rPr>
          <w:rFonts w:ascii="Arial" w:hAnsi="Arial" w:cs="Arial"/>
          <w:color w:val="auto"/>
        </w:rPr>
        <w:t>Development and redevelopment shall accord with the Deta</w:t>
      </w:r>
      <w:r>
        <w:rPr>
          <w:rFonts w:ascii="Arial" w:hAnsi="Arial" w:cs="Arial"/>
          <w:color w:val="auto"/>
        </w:rPr>
        <w:t xml:space="preserve">iled Conditions of Planning, </w:t>
      </w:r>
      <w:r w:rsidRPr="00773924">
        <w:rPr>
          <w:rFonts w:ascii="Arial" w:hAnsi="Arial" w:cs="Arial"/>
          <w:color w:val="auto"/>
        </w:rPr>
        <w:t>Design</w:t>
      </w:r>
      <w:r>
        <w:rPr>
          <w:rFonts w:ascii="Arial" w:hAnsi="Arial" w:cs="Arial"/>
          <w:color w:val="auto"/>
        </w:rPr>
        <w:t xml:space="preserve"> and Development</w:t>
      </w:r>
      <w:r w:rsidRPr="00773924">
        <w:rPr>
          <w:rFonts w:ascii="Arial" w:hAnsi="Arial" w:cs="Arial"/>
          <w:color w:val="auto"/>
        </w:rPr>
        <w:t xml:space="preserve"> as set out in Appendi</w:t>
      </w:r>
      <w:r>
        <w:rPr>
          <w:rFonts w:ascii="Arial" w:hAnsi="Arial" w:cs="Arial"/>
          <w:color w:val="auto"/>
        </w:rPr>
        <w:t>x U (Section 6 and Blocks 12 &amp;</w:t>
      </w:r>
      <w:r w:rsidRPr="00773924">
        <w:rPr>
          <w:rFonts w:ascii="Arial" w:hAnsi="Arial" w:cs="Arial"/>
          <w:color w:val="auto"/>
        </w:rPr>
        <w:t xml:space="preserve"> 13 Section 9 Barton). </w:t>
      </w:r>
    </w:p>
    <w:p w:rsidR="00773924" w:rsidRPr="00773924" w:rsidRDefault="00773924" w:rsidP="00773924">
      <w:pPr>
        <w:pStyle w:val="BODY"/>
        <w:rPr>
          <w:rFonts w:ascii="Arial" w:hAnsi="Arial" w:cs="Arial"/>
          <w:color w:val="auto"/>
        </w:rPr>
      </w:pPr>
      <w:r w:rsidRPr="00773924">
        <w:rPr>
          <w:rFonts w:ascii="Arial" w:hAnsi="Arial" w:cs="Arial"/>
          <w:color w:val="auto"/>
        </w:rPr>
        <w:t xml:space="preserve">Permitted land uses are: </w:t>
      </w:r>
    </w:p>
    <w:p w:rsidR="004672CA" w:rsidRDefault="004672CA" w:rsidP="004672CA">
      <w:pPr>
        <w:pStyle w:val="BULLETS"/>
        <w:numPr>
          <w:ilvl w:val="0"/>
          <w:numId w:val="4"/>
        </w:numPr>
        <w:rPr>
          <w:rFonts w:ascii="Arial" w:hAnsi="Arial" w:cs="Arial"/>
          <w:color w:val="auto"/>
        </w:rPr>
        <w:sectPr w:rsidR="004672CA" w:rsidSect="00F55498">
          <w:headerReference w:type="even" r:id="rId9"/>
          <w:headerReference w:type="default" r:id="rId10"/>
          <w:footerReference w:type="even" r:id="rId11"/>
          <w:footerReference w:type="default" r:id="rId12"/>
          <w:type w:val="continuous"/>
          <w:pgSz w:w="11907" w:h="16839" w:code="9"/>
          <w:pgMar w:top="1440" w:right="1797" w:bottom="1440" w:left="1797" w:header="709" w:footer="709" w:gutter="0"/>
          <w:cols w:space="708"/>
          <w:docGrid w:linePitch="360"/>
        </w:sectPr>
      </w:pPr>
    </w:p>
    <w:p w:rsidR="00773924" w:rsidRPr="00773924" w:rsidRDefault="00773924" w:rsidP="004672CA">
      <w:pPr>
        <w:pStyle w:val="BULLETS"/>
        <w:numPr>
          <w:ilvl w:val="0"/>
          <w:numId w:val="4"/>
        </w:numPr>
        <w:rPr>
          <w:rFonts w:ascii="Arial" w:hAnsi="Arial" w:cs="Arial"/>
          <w:color w:val="auto"/>
        </w:rPr>
      </w:pPr>
      <w:r w:rsidRPr="00773924">
        <w:rPr>
          <w:rFonts w:ascii="Arial" w:hAnsi="Arial" w:cs="Arial"/>
          <w:color w:val="auto"/>
        </w:rPr>
        <w:lastRenderedPageBreak/>
        <w:t xml:space="preserve">Bank; </w:t>
      </w:r>
    </w:p>
    <w:p w:rsidR="00773924" w:rsidRPr="00773924" w:rsidRDefault="00773924" w:rsidP="004672CA">
      <w:pPr>
        <w:pStyle w:val="BULLETS"/>
        <w:numPr>
          <w:ilvl w:val="0"/>
          <w:numId w:val="4"/>
        </w:numPr>
        <w:rPr>
          <w:rFonts w:ascii="Arial" w:hAnsi="Arial" w:cs="Arial"/>
          <w:color w:val="auto"/>
        </w:rPr>
      </w:pPr>
      <w:r w:rsidRPr="00773924">
        <w:rPr>
          <w:rFonts w:ascii="Arial" w:hAnsi="Arial" w:cs="Arial"/>
          <w:color w:val="auto"/>
        </w:rPr>
        <w:t>Car Park;</w:t>
      </w:r>
    </w:p>
    <w:p w:rsidR="00773924" w:rsidRPr="00773924" w:rsidRDefault="00773924" w:rsidP="004672CA">
      <w:pPr>
        <w:pStyle w:val="BULLETS"/>
        <w:numPr>
          <w:ilvl w:val="0"/>
          <w:numId w:val="4"/>
        </w:numPr>
        <w:rPr>
          <w:rFonts w:ascii="Arial" w:hAnsi="Arial" w:cs="Arial"/>
          <w:color w:val="auto"/>
        </w:rPr>
      </w:pPr>
      <w:r w:rsidRPr="00773924">
        <w:rPr>
          <w:rFonts w:ascii="Arial" w:hAnsi="Arial" w:cs="Arial"/>
          <w:color w:val="auto"/>
        </w:rPr>
        <w:t>Child Care Centre;</w:t>
      </w:r>
    </w:p>
    <w:p w:rsidR="00773924" w:rsidRPr="00773924" w:rsidRDefault="00773924" w:rsidP="004672CA">
      <w:pPr>
        <w:pStyle w:val="BULLETS"/>
        <w:numPr>
          <w:ilvl w:val="0"/>
          <w:numId w:val="4"/>
        </w:numPr>
        <w:rPr>
          <w:rFonts w:ascii="Arial" w:hAnsi="Arial" w:cs="Arial"/>
          <w:color w:val="auto"/>
        </w:rPr>
      </w:pPr>
      <w:r w:rsidRPr="00773924">
        <w:rPr>
          <w:rFonts w:ascii="Arial" w:hAnsi="Arial" w:cs="Arial"/>
          <w:color w:val="auto"/>
        </w:rPr>
        <w:t xml:space="preserve">Commercial Accommodation (Serviced Apartment only); </w:t>
      </w:r>
    </w:p>
    <w:p w:rsidR="00773924" w:rsidRPr="00773924" w:rsidRDefault="00773924" w:rsidP="004672CA">
      <w:pPr>
        <w:pStyle w:val="BULLETS"/>
        <w:numPr>
          <w:ilvl w:val="0"/>
          <w:numId w:val="4"/>
        </w:numPr>
        <w:rPr>
          <w:rFonts w:ascii="Arial" w:hAnsi="Arial" w:cs="Arial"/>
          <w:color w:val="auto"/>
        </w:rPr>
      </w:pPr>
      <w:r w:rsidRPr="00773924">
        <w:rPr>
          <w:rFonts w:ascii="Arial" w:hAnsi="Arial" w:cs="Arial"/>
          <w:color w:val="auto"/>
        </w:rPr>
        <w:t>Consulting Rooms;</w:t>
      </w:r>
    </w:p>
    <w:p w:rsidR="00773924" w:rsidRPr="00773924" w:rsidRDefault="00773924" w:rsidP="004672CA">
      <w:pPr>
        <w:pStyle w:val="BULLETS"/>
        <w:numPr>
          <w:ilvl w:val="0"/>
          <w:numId w:val="4"/>
        </w:numPr>
        <w:rPr>
          <w:rFonts w:ascii="Arial" w:hAnsi="Arial" w:cs="Arial"/>
          <w:color w:val="auto"/>
        </w:rPr>
      </w:pPr>
      <w:r w:rsidRPr="00773924">
        <w:rPr>
          <w:rFonts w:ascii="Arial" w:hAnsi="Arial" w:cs="Arial"/>
          <w:color w:val="auto"/>
        </w:rPr>
        <w:t>Co-operative Society;</w:t>
      </w:r>
    </w:p>
    <w:p w:rsidR="00773924" w:rsidRPr="00773924" w:rsidRDefault="00773924" w:rsidP="004672CA">
      <w:pPr>
        <w:pStyle w:val="BULLETS"/>
        <w:numPr>
          <w:ilvl w:val="0"/>
          <w:numId w:val="4"/>
        </w:numPr>
        <w:rPr>
          <w:rFonts w:ascii="Arial" w:hAnsi="Arial" w:cs="Arial"/>
          <w:color w:val="auto"/>
        </w:rPr>
      </w:pPr>
      <w:r w:rsidRPr="00773924">
        <w:rPr>
          <w:rFonts w:ascii="Arial" w:hAnsi="Arial" w:cs="Arial"/>
          <w:color w:val="auto"/>
        </w:rPr>
        <w:lastRenderedPageBreak/>
        <w:t xml:space="preserve">Office; </w:t>
      </w:r>
    </w:p>
    <w:p w:rsidR="00773924" w:rsidRPr="00773924" w:rsidRDefault="00773924" w:rsidP="004672CA">
      <w:pPr>
        <w:pStyle w:val="BULLETS"/>
        <w:numPr>
          <w:ilvl w:val="0"/>
          <w:numId w:val="4"/>
        </w:numPr>
        <w:rPr>
          <w:rFonts w:ascii="Arial" w:hAnsi="Arial" w:cs="Arial"/>
          <w:color w:val="auto"/>
        </w:rPr>
      </w:pPr>
      <w:r w:rsidRPr="00773924">
        <w:rPr>
          <w:rFonts w:ascii="Arial" w:hAnsi="Arial" w:cs="Arial"/>
          <w:color w:val="auto"/>
        </w:rPr>
        <w:t xml:space="preserve">Open Space; </w:t>
      </w:r>
    </w:p>
    <w:p w:rsidR="00773924" w:rsidRPr="00773924" w:rsidRDefault="00773924" w:rsidP="004672CA">
      <w:pPr>
        <w:pStyle w:val="BULLETS"/>
        <w:numPr>
          <w:ilvl w:val="0"/>
          <w:numId w:val="4"/>
        </w:numPr>
        <w:rPr>
          <w:rFonts w:ascii="Arial" w:hAnsi="Arial" w:cs="Arial"/>
          <w:color w:val="auto"/>
        </w:rPr>
      </w:pPr>
      <w:r w:rsidRPr="00773924">
        <w:rPr>
          <w:rFonts w:ascii="Arial" w:hAnsi="Arial" w:cs="Arial"/>
          <w:color w:val="auto"/>
        </w:rPr>
        <w:t>Personal Service Establishment;</w:t>
      </w:r>
    </w:p>
    <w:p w:rsidR="00773924" w:rsidRPr="00773924" w:rsidRDefault="00773924" w:rsidP="004672CA">
      <w:pPr>
        <w:pStyle w:val="BULLETS"/>
        <w:numPr>
          <w:ilvl w:val="0"/>
          <w:numId w:val="4"/>
        </w:numPr>
        <w:rPr>
          <w:rFonts w:ascii="Arial" w:hAnsi="Arial" w:cs="Arial"/>
          <w:color w:val="auto"/>
        </w:rPr>
      </w:pPr>
      <w:r w:rsidRPr="00773924">
        <w:rPr>
          <w:rFonts w:ascii="Arial" w:hAnsi="Arial" w:cs="Arial"/>
          <w:color w:val="auto"/>
        </w:rPr>
        <w:t>Residential;</w:t>
      </w:r>
    </w:p>
    <w:p w:rsidR="00773924" w:rsidRPr="00773924" w:rsidRDefault="00773924" w:rsidP="004672CA">
      <w:pPr>
        <w:pStyle w:val="BULLETS"/>
        <w:numPr>
          <w:ilvl w:val="0"/>
          <w:numId w:val="4"/>
        </w:numPr>
        <w:rPr>
          <w:rFonts w:ascii="Arial" w:hAnsi="Arial" w:cs="Arial"/>
          <w:color w:val="auto"/>
        </w:rPr>
      </w:pPr>
      <w:r w:rsidRPr="00773924">
        <w:rPr>
          <w:rFonts w:ascii="Arial" w:hAnsi="Arial" w:cs="Arial"/>
          <w:color w:val="auto"/>
        </w:rPr>
        <w:t xml:space="preserve">Restaurant, Bar, Café; </w:t>
      </w:r>
    </w:p>
    <w:p w:rsidR="00773924" w:rsidRPr="00773924" w:rsidRDefault="00773924" w:rsidP="004672CA">
      <w:pPr>
        <w:pStyle w:val="BULLETS"/>
        <w:numPr>
          <w:ilvl w:val="0"/>
          <w:numId w:val="4"/>
        </w:numPr>
        <w:rPr>
          <w:rFonts w:ascii="Arial" w:hAnsi="Arial" w:cs="Arial"/>
          <w:color w:val="auto"/>
        </w:rPr>
      </w:pPr>
      <w:r w:rsidRPr="00773924">
        <w:rPr>
          <w:rFonts w:ascii="Arial" w:hAnsi="Arial" w:cs="Arial"/>
          <w:color w:val="auto"/>
        </w:rPr>
        <w:t xml:space="preserve">Retail; and </w:t>
      </w:r>
    </w:p>
    <w:p w:rsidR="00773924" w:rsidRPr="00773924" w:rsidRDefault="00773924" w:rsidP="004672CA">
      <w:pPr>
        <w:pStyle w:val="BULLETS"/>
        <w:numPr>
          <w:ilvl w:val="0"/>
          <w:numId w:val="4"/>
        </w:numPr>
        <w:rPr>
          <w:rFonts w:ascii="Arial" w:hAnsi="Arial" w:cs="Arial"/>
          <w:color w:val="auto"/>
        </w:rPr>
      </w:pPr>
      <w:r w:rsidRPr="00773924">
        <w:rPr>
          <w:rFonts w:ascii="Arial" w:hAnsi="Arial" w:cs="Arial"/>
          <w:color w:val="auto"/>
        </w:rPr>
        <w:t>Road.</w:t>
      </w:r>
    </w:p>
    <w:p w:rsidR="004672CA" w:rsidRDefault="004672CA" w:rsidP="00773924">
      <w:pPr>
        <w:pStyle w:val="Head4"/>
        <w:rPr>
          <w:rFonts w:ascii="Arial" w:hAnsi="Arial" w:cs="Arial"/>
          <w:caps w:val="0"/>
          <w:color w:val="auto"/>
        </w:rPr>
        <w:sectPr w:rsidR="004672CA" w:rsidSect="004672CA">
          <w:type w:val="continuous"/>
          <w:pgSz w:w="11907" w:h="16839" w:code="9"/>
          <w:pgMar w:top="1440" w:right="1797" w:bottom="1440" w:left="1797" w:header="709" w:footer="709" w:gutter="0"/>
          <w:cols w:num="2" w:space="708" w:equalWidth="0">
            <w:col w:w="3802" w:space="708"/>
            <w:col w:w="3802"/>
          </w:cols>
          <w:docGrid w:linePitch="360"/>
        </w:sectPr>
      </w:pPr>
    </w:p>
    <w:p w:rsidR="00773924" w:rsidRPr="00773924" w:rsidRDefault="00773924" w:rsidP="00773924">
      <w:pPr>
        <w:pStyle w:val="Head4"/>
        <w:rPr>
          <w:rFonts w:ascii="Arial" w:hAnsi="Arial" w:cs="Arial"/>
          <w:color w:val="auto"/>
        </w:rPr>
      </w:pPr>
      <w:r w:rsidRPr="00773924">
        <w:rPr>
          <w:rFonts w:ascii="Arial" w:hAnsi="Arial" w:cs="Arial"/>
          <w:caps w:val="0"/>
          <w:color w:val="auto"/>
        </w:rPr>
        <w:lastRenderedPageBreak/>
        <w:t>c)</w:t>
      </w:r>
      <w:r w:rsidRPr="00773924">
        <w:rPr>
          <w:rFonts w:ascii="Arial" w:hAnsi="Arial" w:cs="Arial"/>
          <w:caps w:val="0"/>
          <w:color w:val="auto"/>
        </w:rPr>
        <w:tab/>
        <w:t xml:space="preserve">Amend Appendix U to read Section 6 </w:t>
      </w:r>
      <w:r>
        <w:rPr>
          <w:rFonts w:ascii="Arial" w:hAnsi="Arial" w:cs="Arial"/>
          <w:caps w:val="0"/>
          <w:color w:val="auto"/>
        </w:rPr>
        <w:t>and Blocks 12 &amp;</w:t>
      </w:r>
      <w:r w:rsidRPr="00773924">
        <w:rPr>
          <w:rFonts w:ascii="Arial" w:hAnsi="Arial" w:cs="Arial"/>
          <w:caps w:val="0"/>
          <w:color w:val="auto"/>
        </w:rPr>
        <w:t xml:space="preserve"> 13 Section 9 Barton - Detailed Conditions of Planning, Design and Development. </w:t>
      </w:r>
    </w:p>
    <w:p w:rsidR="00773924" w:rsidRPr="00773924" w:rsidRDefault="00773924" w:rsidP="00773924">
      <w:pPr>
        <w:pStyle w:val="Head4"/>
        <w:rPr>
          <w:rFonts w:ascii="Arial" w:hAnsi="Arial" w:cs="Arial"/>
          <w:color w:val="auto"/>
        </w:rPr>
      </w:pPr>
      <w:r w:rsidRPr="00773924">
        <w:rPr>
          <w:rFonts w:ascii="Arial" w:hAnsi="Arial" w:cs="Arial"/>
          <w:caps w:val="0"/>
          <w:color w:val="auto"/>
        </w:rPr>
        <w:t>d)</w:t>
      </w:r>
      <w:r w:rsidRPr="00773924">
        <w:rPr>
          <w:rFonts w:ascii="Arial" w:hAnsi="Arial" w:cs="Arial"/>
          <w:caps w:val="0"/>
          <w:color w:val="auto"/>
        </w:rPr>
        <w:tab/>
        <w:t xml:space="preserve">After the last paragraph </w:t>
      </w:r>
      <w:r>
        <w:rPr>
          <w:rFonts w:ascii="Arial" w:hAnsi="Arial" w:cs="Arial"/>
          <w:caps w:val="0"/>
          <w:color w:val="auto"/>
        </w:rPr>
        <w:t>under ‘Appendix U – Sections 6 and Blocks 12 &amp; 13 Section</w:t>
      </w:r>
      <w:r w:rsidRPr="00773924">
        <w:rPr>
          <w:rFonts w:ascii="Arial" w:hAnsi="Arial" w:cs="Arial"/>
          <w:caps w:val="0"/>
          <w:color w:val="auto"/>
        </w:rPr>
        <w:t xml:space="preserve"> 9 Barton – Detailed Conditions of Planning, Design and Development’, add the following:</w:t>
      </w:r>
    </w:p>
    <w:p w:rsidR="00773924" w:rsidRPr="00773924" w:rsidRDefault="00773924" w:rsidP="00773924">
      <w:pPr>
        <w:pStyle w:val="HEADING30"/>
        <w:rPr>
          <w:rFonts w:ascii="Arial" w:hAnsi="Arial" w:cs="Arial"/>
          <w:color w:val="auto"/>
        </w:rPr>
      </w:pPr>
      <w:r w:rsidRPr="00773924">
        <w:rPr>
          <w:rFonts w:ascii="Arial" w:hAnsi="Arial" w:cs="Arial"/>
          <w:color w:val="auto"/>
        </w:rPr>
        <w:t>BLOCKS 12 &amp; 13 SECTION 9 BARTON</w:t>
      </w:r>
    </w:p>
    <w:p w:rsidR="00773924" w:rsidRDefault="00773924" w:rsidP="00773924">
      <w:pPr>
        <w:pStyle w:val="Head4"/>
        <w:rPr>
          <w:rFonts w:ascii="Arial" w:hAnsi="Arial" w:cs="Arial"/>
          <w:color w:val="auto"/>
        </w:rPr>
      </w:pPr>
      <w:r w:rsidRPr="00773924">
        <w:rPr>
          <w:rFonts w:ascii="Arial" w:hAnsi="Arial" w:cs="Arial"/>
          <w:color w:val="auto"/>
        </w:rPr>
        <w:lastRenderedPageBreak/>
        <w:t>DETAILED CONDITIONS OF PLANNING, DESIGN AND DEVELOPMENT</w:t>
      </w:r>
    </w:p>
    <w:p w:rsidR="00773924" w:rsidRPr="00D13F9C" w:rsidRDefault="00773924" w:rsidP="00D13F9C">
      <w:pPr>
        <w:pStyle w:val="Head5"/>
        <w:spacing w:line="360" w:lineRule="auto"/>
        <w:rPr>
          <w:rFonts w:ascii="Arial" w:hAnsi="Arial" w:cs="Arial"/>
          <w:b/>
          <w:color w:val="auto"/>
          <w:sz w:val="20"/>
          <w:szCs w:val="20"/>
        </w:rPr>
      </w:pPr>
      <w:r w:rsidRPr="00D13F9C">
        <w:rPr>
          <w:rFonts w:ascii="Arial" w:hAnsi="Arial" w:cs="Arial"/>
          <w:b/>
          <w:color w:val="auto"/>
          <w:sz w:val="20"/>
          <w:szCs w:val="20"/>
        </w:rPr>
        <w:t>Building Height and Form</w:t>
      </w:r>
    </w:p>
    <w:p w:rsidR="00457D32" w:rsidRDefault="00736C5F" w:rsidP="00D13F9C">
      <w:pPr>
        <w:spacing w:line="360" w:lineRule="auto"/>
        <w:rPr>
          <w:rFonts w:ascii="Arial" w:hAnsi="Arial" w:cs="Arial"/>
          <w:sz w:val="20"/>
          <w:szCs w:val="20"/>
        </w:rPr>
      </w:pPr>
      <w:r>
        <w:rPr>
          <w:noProof/>
        </w:rPr>
        <w:drawing>
          <wp:anchor distT="0" distB="0" distL="114300" distR="114300" simplePos="0" relativeHeight="251660288" behindDoc="0" locked="0" layoutInCell="0" allowOverlap="1">
            <wp:simplePos x="0" y="0"/>
            <wp:positionH relativeFrom="column">
              <wp:align>left</wp:align>
            </wp:positionH>
            <wp:positionV relativeFrom="paragraph">
              <wp:posOffset>-3810</wp:posOffset>
            </wp:positionV>
            <wp:extent cx="2733675" cy="3152775"/>
            <wp:effectExtent l="0" t="0" r="9525" b="9525"/>
            <wp:wrapSquare wrapText="right"/>
            <wp:docPr id="7" name="Picture 7" descr="Building Height and Form" title="Building Height and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3675"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F9C" w:rsidRPr="00D13F9C" w:rsidRDefault="00D13F9C" w:rsidP="00AF07E2">
      <w:pPr>
        <w:spacing w:line="360" w:lineRule="auto"/>
        <w:ind w:left="4560"/>
        <w:rPr>
          <w:rFonts w:ascii="Arial" w:hAnsi="Arial" w:cs="Arial"/>
          <w:sz w:val="20"/>
          <w:szCs w:val="20"/>
        </w:rPr>
      </w:pPr>
      <w:r w:rsidRPr="00D13F9C">
        <w:rPr>
          <w:rFonts w:ascii="Arial" w:hAnsi="Arial" w:cs="Arial"/>
          <w:sz w:val="20"/>
          <w:szCs w:val="20"/>
        </w:rPr>
        <w:t>To protect the integrity of views to and from Parliament House, development is generally limited to a height of RL591. Minor building elements (such as lift overruns and roof plant) that extend building height above RL591 will be considered where this enhances the architectural quality of the building, and fosters energy efficiency, indoor amenity, appropriate urban scale, and adds visual interest to the skyline. Minor building elements should be carefully integrated within the form of buildings.</w:t>
      </w:r>
    </w:p>
    <w:p w:rsidR="00D13F9C" w:rsidRPr="00D13F9C" w:rsidRDefault="00D13F9C" w:rsidP="00D13F9C">
      <w:pPr>
        <w:spacing w:line="360" w:lineRule="auto"/>
        <w:rPr>
          <w:rFonts w:ascii="Arial" w:hAnsi="Arial" w:cs="Arial"/>
          <w:sz w:val="20"/>
          <w:szCs w:val="20"/>
        </w:rPr>
      </w:pPr>
    </w:p>
    <w:p w:rsidR="00D13F9C" w:rsidRPr="00D13F9C" w:rsidRDefault="00D13F9C" w:rsidP="00D13F9C">
      <w:pPr>
        <w:spacing w:line="360" w:lineRule="auto"/>
        <w:rPr>
          <w:rFonts w:ascii="Arial" w:hAnsi="Arial" w:cs="Arial"/>
          <w:sz w:val="20"/>
          <w:szCs w:val="20"/>
        </w:rPr>
      </w:pPr>
      <w:r w:rsidRPr="00D13F9C">
        <w:rPr>
          <w:rFonts w:ascii="Arial" w:hAnsi="Arial" w:cs="Arial"/>
          <w:sz w:val="20"/>
          <w:szCs w:val="20"/>
        </w:rPr>
        <w:t>Building and landscaping will need to exhibit design excellence and be designed to ensure protection of the amenity of surrounding buildings and public spaces, including privacy, overlooking and overshadowing.</w:t>
      </w:r>
    </w:p>
    <w:p w:rsidR="00D13F9C" w:rsidRPr="00D13F9C" w:rsidRDefault="00D13F9C" w:rsidP="00D13F9C">
      <w:pPr>
        <w:spacing w:line="360" w:lineRule="auto"/>
        <w:rPr>
          <w:rFonts w:ascii="Arial" w:hAnsi="Arial" w:cs="Arial"/>
          <w:sz w:val="20"/>
          <w:szCs w:val="20"/>
        </w:rPr>
      </w:pPr>
    </w:p>
    <w:p w:rsidR="00D13F9C" w:rsidRPr="00D13F9C" w:rsidRDefault="00D13F9C" w:rsidP="00D13F9C">
      <w:pPr>
        <w:spacing w:line="360" w:lineRule="auto"/>
        <w:rPr>
          <w:rFonts w:ascii="Arial" w:hAnsi="Arial" w:cs="Arial"/>
          <w:sz w:val="20"/>
          <w:szCs w:val="20"/>
        </w:rPr>
      </w:pPr>
      <w:r w:rsidRPr="00D13F9C">
        <w:rPr>
          <w:rFonts w:ascii="Arial" w:hAnsi="Arial" w:cs="Arial"/>
          <w:sz w:val="20"/>
          <w:szCs w:val="20"/>
        </w:rPr>
        <w:t>Individual buildings are to contribute to the coherent definition of blocks and streets generally in accordance with the layout and setbacks. A hierarchy of public spaces and street frontages should be created, with the greatest amount of public activity and building entrances being encouraged on principal streets and at public spaces.</w:t>
      </w:r>
    </w:p>
    <w:p w:rsidR="00D13F9C" w:rsidRPr="00D13F9C" w:rsidRDefault="00D13F9C" w:rsidP="00D13F9C">
      <w:pPr>
        <w:spacing w:line="360" w:lineRule="auto"/>
        <w:rPr>
          <w:rFonts w:ascii="Arial" w:hAnsi="Arial" w:cs="Arial"/>
          <w:sz w:val="20"/>
          <w:szCs w:val="20"/>
        </w:rPr>
      </w:pPr>
    </w:p>
    <w:p w:rsidR="00D13F9C" w:rsidRPr="00D13F9C" w:rsidRDefault="009756C6" w:rsidP="00D13F9C">
      <w:pPr>
        <w:spacing w:line="360" w:lineRule="auto"/>
        <w:rPr>
          <w:rFonts w:ascii="Arial" w:hAnsi="Arial" w:cs="Arial"/>
          <w:sz w:val="20"/>
          <w:szCs w:val="20"/>
        </w:rPr>
      </w:pPr>
      <w:r>
        <w:rPr>
          <w:rFonts w:ascii="Arial" w:hAnsi="Arial" w:cs="Arial"/>
          <w:sz w:val="20"/>
          <w:szCs w:val="20"/>
        </w:rPr>
        <w:t>Blank facades to public spaces and streets are not permitted especially at ground level, to create interest in the streetscape and to enhance passive surveillance and public safety.</w:t>
      </w:r>
    </w:p>
    <w:p w:rsidR="001E47F8" w:rsidRPr="00D13F9C" w:rsidRDefault="001E47F8" w:rsidP="00D13F9C">
      <w:pPr>
        <w:spacing w:line="360" w:lineRule="auto"/>
        <w:rPr>
          <w:rFonts w:ascii="Arial" w:hAnsi="Arial" w:cs="Arial"/>
          <w:sz w:val="20"/>
          <w:szCs w:val="20"/>
        </w:rPr>
      </w:pPr>
    </w:p>
    <w:p w:rsidR="009756C6" w:rsidRDefault="009756C6" w:rsidP="00D13F9C">
      <w:pPr>
        <w:pStyle w:val="BODY"/>
        <w:spacing w:line="360" w:lineRule="auto"/>
        <w:rPr>
          <w:rFonts w:ascii="Arial" w:hAnsi="Arial" w:cs="Arial"/>
          <w:b/>
          <w:color w:val="auto"/>
          <w:sz w:val="20"/>
          <w:szCs w:val="20"/>
        </w:rPr>
      </w:pPr>
    </w:p>
    <w:p w:rsidR="00773924" w:rsidRPr="00D13F9C" w:rsidRDefault="00773924" w:rsidP="00D13F9C">
      <w:pPr>
        <w:pStyle w:val="BODY"/>
        <w:spacing w:line="360" w:lineRule="auto"/>
        <w:rPr>
          <w:rFonts w:ascii="Arial" w:hAnsi="Arial" w:cs="Arial"/>
          <w:b/>
          <w:color w:val="auto"/>
          <w:sz w:val="20"/>
          <w:szCs w:val="20"/>
        </w:rPr>
      </w:pPr>
      <w:r w:rsidRPr="00D13F9C">
        <w:rPr>
          <w:rFonts w:ascii="Arial" w:hAnsi="Arial" w:cs="Arial"/>
          <w:b/>
          <w:color w:val="auto"/>
          <w:sz w:val="20"/>
          <w:szCs w:val="20"/>
        </w:rPr>
        <w:t>Active Frontages</w:t>
      </w:r>
    </w:p>
    <w:p w:rsidR="00773924" w:rsidRPr="00D13F9C" w:rsidRDefault="00736C5F" w:rsidP="00D13F9C">
      <w:pPr>
        <w:pStyle w:val="BODY"/>
        <w:spacing w:line="360" w:lineRule="auto"/>
        <w:rPr>
          <w:rFonts w:ascii="Arial" w:hAnsi="Arial" w:cs="Arial"/>
          <w:color w:val="auto"/>
          <w:sz w:val="20"/>
          <w:szCs w:val="20"/>
        </w:rPr>
      </w:pPr>
      <w:r>
        <w:rPr>
          <w:noProof/>
          <w:lang w:val="en-AU"/>
        </w:rPr>
        <w:lastRenderedPageBreak/>
        <w:drawing>
          <wp:anchor distT="0" distB="0" distL="114300" distR="114300" simplePos="0" relativeHeight="251655168" behindDoc="1" locked="0" layoutInCell="0" allowOverlap="1">
            <wp:simplePos x="0" y="0"/>
            <wp:positionH relativeFrom="column">
              <wp:posOffset>3810</wp:posOffset>
            </wp:positionH>
            <wp:positionV relativeFrom="paragraph">
              <wp:posOffset>-3810</wp:posOffset>
            </wp:positionV>
            <wp:extent cx="2686050" cy="3314700"/>
            <wp:effectExtent l="0" t="0" r="0" b="0"/>
            <wp:wrapTight wrapText="bothSides">
              <wp:wrapPolygon edited="0">
                <wp:start x="0" y="0"/>
                <wp:lineTo x="0" y="21476"/>
                <wp:lineTo x="21447" y="21476"/>
                <wp:lineTo x="21447" y="0"/>
                <wp:lineTo x="0" y="0"/>
              </wp:wrapPolygon>
            </wp:wrapTight>
            <wp:docPr id="2" name="Picture 2" descr="Active Frontages" title="Active Fron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6050"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924" w:rsidRPr="00D13F9C">
        <w:rPr>
          <w:rFonts w:ascii="Arial" w:hAnsi="Arial" w:cs="Arial"/>
          <w:color w:val="auto"/>
          <w:sz w:val="20"/>
          <w:szCs w:val="20"/>
        </w:rPr>
        <w:t xml:space="preserve">Active frontages should include shops and entries to buildings. Address frontages will generally be free of service functions and blank walls, with residential and minor commercial addresses encouraged. </w:t>
      </w:r>
    </w:p>
    <w:p w:rsidR="00773924" w:rsidRPr="00D13F9C" w:rsidRDefault="00773924" w:rsidP="00D13F9C">
      <w:pPr>
        <w:pStyle w:val="BODY"/>
        <w:spacing w:line="360" w:lineRule="auto"/>
        <w:rPr>
          <w:rFonts w:ascii="Arial" w:hAnsi="Arial" w:cs="Arial"/>
          <w:color w:val="auto"/>
          <w:sz w:val="20"/>
          <w:szCs w:val="20"/>
        </w:rPr>
      </w:pPr>
      <w:r w:rsidRPr="00D13F9C">
        <w:rPr>
          <w:rFonts w:ascii="Arial" w:hAnsi="Arial" w:cs="Arial"/>
          <w:color w:val="auto"/>
          <w:sz w:val="20"/>
          <w:szCs w:val="20"/>
        </w:rPr>
        <w:t xml:space="preserve">High standards of architecture are sought for the precinct. Modulation of facades, entrances, window bays, sun shading and balconies, and clear articulation of building elements, textures and materials, should provide interest and variety to the streetscape. </w:t>
      </w:r>
    </w:p>
    <w:p w:rsidR="00773924" w:rsidRPr="00D13F9C" w:rsidRDefault="00773924" w:rsidP="00D13F9C">
      <w:pPr>
        <w:pStyle w:val="BODY"/>
        <w:spacing w:line="360" w:lineRule="auto"/>
        <w:rPr>
          <w:rFonts w:ascii="Arial" w:hAnsi="Arial" w:cs="Arial"/>
          <w:color w:val="auto"/>
          <w:sz w:val="20"/>
          <w:szCs w:val="20"/>
        </w:rPr>
      </w:pPr>
      <w:r w:rsidRPr="00D13F9C">
        <w:rPr>
          <w:rFonts w:ascii="Arial" w:hAnsi="Arial" w:cs="Arial"/>
          <w:color w:val="auto"/>
          <w:sz w:val="20"/>
          <w:szCs w:val="20"/>
        </w:rPr>
        <w:t>Residential frontages may be set-back from street boundaries to provide entry porches and a garden interface with the public domain to protect the amenity of residents and contribute to the interest and landscape qualities to the street.</w:t>
      </w:r>
    </w:p>
    <w:p w:rsidR="004672CA" w:rsidRDefault="00773924" w:rsidP="00D13F9C">
      <w:pPr>
        <w:pStyle w:val="BODY"/>
        <w:spacing w:line="360" w:lineRule="auto"/>
        <w:rPr>
          <w:rFonts w:ascii="Arial" w:hAnsi="Arial" w:cs="Arial"/>
          <w:color w:val="auto"/>
          <w:sz w:val="20"/>
          <w:szCs w:val="20"/>
        </w:rPr>
      </w:pPr>
      <w:r w:rsidRPr="00D13F9C">
        <w:rPr>
          <w:rFonts w:ascii="Arial" w:hAnsi="Arial" w:cs="Arial"/>
          <w:color w:val="auto"/>
          <w:sz w:val="20"/>
          <w:szCs w:val="20"/>
        </w:rPr>
        <w:t>Balconies should be of an appropriate size and design to optimise their use and privacy.  A minimum dimension of 2.5m for at least one balcony per dwelling should be provided and balustrades should be opaque up to at least 4 storeys from street level.</w:t>
      </w:r>
    </w:p>
    <w:p w:rsidR="00773924" w:rsidRPr="00D91DD7" w:rsidRDefault="004672CA" w:rsidP="004672CA">
      <w:pPr>
        <w:pStyle w:val="BODY"/>
        <w:spacing w:line="360" w:lineRule="auto"/>
        <w:rPr>
          <w:rFonts w:ascii="Arial" w:hAnsi="Arial" w:cs="Arial"/>
          <w:b/>
          <w:sz w:val="20"/>
          <w:szCs w:val="20"/>
        </w:rPr>
      </w:pPr>
      <w:r w:rsidRPr="00D91DD7">
        <w:br w:type="page"/>
      </w:r>
      <w:r w:rsidR="00773924" w:rsidRPr="00D91DD7">
        <w:rPr>
          <w:rFonts w:ascii="Arial" w:hAnsi="Arial" w:cs="Arial"/>
          <w:b/>
          <w:sz w:val="20"/>
          <w:szCs w:val="20"/>
        </w:rPr>
        <w:lastRenderedPageBreak/>
        <w:t>Parking and Access</w:t>
      </w:r>
    </w:p>
    <w:p w:rsidR="00D13F9C" w:rsidRPr="00D13F9C" w:rsidRDefault="00736C5F" w:rsidP="00D13F9C">
      <w:pPr>
        <w:spacing w:line="360" w:lineRule="auto"/>
        <w:rPr>
          <w:rFonts w:ascii="Arial" w:hAnsi="Arial" w:cs="Arial"/>
          <w:sz w:val="20"/>
          <w:szCs w:val="20"/>
        </w:rPr>
      </w:pPr>
      <w:r>
        <w:rPr>
          <w:noProof/>
        </w:rPr>
        <w:drawing>
          <wp:anchor distT="0" distB="0" distL="114300" distR="114300" simplePos="0" relativeHeight="251656192" behindDoc="1" locked="0" layoutInCell="0" allowOverlap="1">
            <wp:simplePos x="0" y="0"/>
            <wp:positionH relativeFrom="column">
              <wp:posOffset>3810</wp:posOffset>
            </wp:positionH>
            <wp:positionV relativeFrom="paragraph">
              <wp:posOffset>-3810</wp:posOffset>
            </wp:positionV>
            <wp:extent cx="2686050" cy="3581400"/>
            <wp:effectExtent l="0" t="0" r="0" b="0"/>
            <wp:wrapTight wrapText="bothSides">
              <wp:wrapPolygon edited="0">
                <wp:start x="0" y="0"/>
                <wp:lineTo x="0" y="21485"/>
                <wp:lineTo x="21447" y="21485"/>
                <wp:lineTo x="21447" y="0"/>
                <wp:lineTo x="0" y="0"/>
              </wp:wrapPolygon>
            </wp:wrapTight>
            <wp:docPr id="3" name="Picture 3" descr="Parking and Access" title="Parking and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k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0" cy="358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F9C" w:rsidRPr="00D13F9C">
        <w:rPr>
          <w:rFonts w:ascii="Arial" w:hAnsi="Arial" w:cs="Arial"/>
          <w:sz w:val="20"/>
          <w:szCs w:val="20"/>
        </w:rPr>
        <w:t xml:space="preserve">Large off-street permanent surface car parks are to be avoided. Car parking is to be accommodated in basements and/or in above ground structures concealed from public view. Blank facades to public spaces or streets are not </w:t>
      </w:r>
      <w:proofErr w:type="gramStart"/>
      <w:r w:rsidR="00D13F9C" w:rsidRPr="00D13F9C">
        <w:rPr>
          <w:rFonts w:ascii="Arial" w:hAnsi="Arial" w:cs="Arial"/>
          <w:sz w:val="20"/>
          <w:szCs w:val="20"/>
        </w:rPr>
        <w:t>permitted,</w:t>
      </w:r>
      <w:proofErr w:type="gramEnd"/>
      <w:r w:rsidR="00D13F9C" w:rsidRPr="00D13F9C">
        <w:rPr>
          <w:rFonts w:ascii="Arial" w:hAnsi="Arial" w:cs="Arial"/>
          <w:sz w:val="20"/>
          <w:szCs w:val="20"/>
        </w:rPr>
        <w:t xml:space="preserve"> and sculptural elements and urban scale public art is encouraged. The inclusion of these elements can assist in ascribing different meanings to buildings, and provides the opportunity to characterise not only shelter and functionality, but to interact with our daily lives.</w:t>
      </w:r>
    </w:p>
    <w:p w:rsidR="00D13F9C" w:rsidRPr="00D13F9C" w:rsidRDefault="00D13F9C" w:rsidP="00D13F9C">
      <w:pPr>
        <w:spacing w:line="360" w:lineRule="auto"/>
        <w:rPr>
          <w:rFonts w:ascii="Arial" w:hAnsi="Arial" w:cs="Arial"/>
          <w:sz w:val="20"/>
          <w:szCs w:val="20"/>
        </w:rPr>
      </w:pPr>
    </w:p>
    <w:p w:rsidR="00D13F9C" w:rsidRPr="00D13F9C" w:rsidRDefault="00D13F9C" w:rsidP="00D13F9C">
      <w:pPr>
        <w:spacing w:line="360" w:lineRule="auto"/>
        <w:rPr>
          <w:rFonts w:ascii="Arial" w:hAnsi="Arial" w:cs="Arial"/>
          <w:sz w:val="20"/>
          <w:szCs w:val="20"/>
        </w:rPr>
      </w:pPr>
      <w:r w:rsidRPr="00D13F9C">
        <w:rPr>
          <w:rFonts w:ascii="Arial" w:hAnsi="Arial" w:cs="Arial"/>
          <w:sz w:val="20"/>
          <w:szCs w:val="20"/>
        </w:rPr>
        <w:t>Some short stay on-street shall be provided to support retail uses, pedestrian amenity and after hours activity.</w:t>
      </w:r>
    </w:p>
    <w:p w:rsidR="00D13F9C" w:rsidRPr="00D13F9C" w:rsidRDefault="00D13F9C" w:rsidP="00D13F9C">
      <w:pPr>
        <w:spacing w:line="360" w:lineRule="auto"/>
        <w:rPr>
          <w:rFonts w:ascii="Arial" w:hAnsi="Arial" w:cs="Arial"/>
          <w:sz w:val="20"/>
          <w:szCs w:val="20"/>
        </w:rPr>
      </w:pPr>
    </w:p>
    <w:p w:rsidR="00D13F9C" w:rsidRPr="00D13F9C" w:rsidRDefault="00D13F9C" w:rsidP="00D13F9C">
      <w:pPr>
        <w:spacing w:line="360" w:lineRule="auto"/>
        <w:rPr>
          <w:rFonts w:ascii="Arial" w:hAnsi="Arial" w:cs="Arial"/>
          <w:sz w:val="20"/>
          <w:szCs w:val="20"/>
        </w:rPr>
      </w:pPr>
      <w:r w:rsidRPr="00D13F9C">
        <w:rPr>
          <w:rFonts w:ascii="Arial" w:hAnsi="Arial" w:cs="Arial"/>
          <w:sz w:val="20"/>
          <w:szCs w:val="20"/>
        </w:rPr>
        <w:t>Car parking for new development shall accord with the following rates:</w:t>
      </w:r>
    </w:p>
    <w:p w:rsidR="00D13F9C" w:rsidRPr="00D13F9C" w:rsidRDefault="00D13F9C" w:rsidP="00D13F9C">
      <w:pPr>
        <w:spacing w:line="360" w:lineRule="auto"/>
        <w:rPr>
          <w:rFonts w:ascii="Arial" w:hAnsi="Arial" w:cs="Arial"/>
          <w:sz w:val="20"/>
          <w:szCs w:val="20"/>
        </w:rPr>
      </w:pPr>
    </w:p>
    <w:p w:rsidR="00D13F9C" w:rsidRPr="00D13F9C" w:rsidRDefault="00D13F9C" w:rsidP="00D13F9C">
      <w:pPr>
        <w:spacing w:line="360" w:lineRule="auto"/>
        <w:rPr>
          <w:rFonts w:ascii="Arial" w:hAnsi="Arial" w:cs="Arial"/>
          <w:sz w:val="20"/>
          <w:szCs w:val="20"/>
        </w:rPr>
      </w:pPr>
      <w:r w:rsidRPr="00D13F9C">
        <w:rPr>
          <w:rFonts w:ascii="Arial" w:hAnsi="Arial" w:cs="Arial"/>
          <w:sz w:val="20"/>
          <w:szCs w:val="20"/>
        </w:rPr>
        <w:t>Residential; Commercial Accommodation (Serviced Apartment only): 1.5 spaces per 100 square metres of gross floor area.</w:t>
      </w:r>
    </w:p>
    <w:p w:rsidR="00D13F9C" w:rsidRPr="00D13F9C" w:rsidRDefault="00D13F9C" w:rsidP="00D13F9C">
      <w:pPr>
        <w:spacing w:line="360" w:lineRule="auto"/>
        <w:rPr>
          <w:rFonts w:ascii="Arial" w:hAnsi="Arial" w:cs="Arial"/>
          <w:sz w:val="20"/>
          <w:szCs w:val="20"/>
        </w:rPr>
      </w:pPr>
    </w:p>
    <w:p w:rsidR="00D13F9C" w:rsidRPr="00D13F9C" w:rsidRDefault="00D13F9C" w:rsidP="00D13F9C">
      <w:pPr>
        <w:spacing w:line="360" w:lineRule="auto"/>
        <w:rPr>
          <w:rFonts w:ascii="Arial" w:hAnsi="Arial" w:cs="Arial"/>
          <w:sz w:val="20"/>
          <w:szCs w:val="20"/>
        </w:rPr>
      </w:pPr>
      <w:r w:rsidRPr="00D13F9C">
        <w:rPr>
          <w:rFonts w:ascii="Arial" w:hAnsi="Arial" w:cs="Arial"/>
          <w:sz w:val="20"/>
          <w:szCs w:val="20"/>
        </w:rPr>
        <w:t>Bank; Child Care Centre; Consulting Rooms; Co-operative Society; Office; Personal Service Establishment: 2 spaces per 100 square metres of gross floor area.</w:t>
      </w:r>
    </w:p>
    <w:p w:rsidR="00D13F9C" w:rsidRPr="00D13F9C" w:rsidRDefault="00D13F9C" w:rsidP="00D13F9C">
      <w:pPr>
        <w:spacing w:line="360" w:lineRule="auto"/>
        <w:rPr>
          <w:rFonts w:ascii="Arial" w:hAnsi="Arial" w:cs="Arial"/>
          <w:sz w:val="20"/>
          <w:szCs w:val="20"/>
        </w:rPr>
      </w:pPr>
    </w:p>
    <w:p w:rsidR="00D13F9C" w:rsidRPr="00D13F9C" w:rsidRDefault="00D13F9C" w:rsidP="00D13F9C">
      <w:pPr>
        <w:spacing w:line="360" w:lineRule="auto"/>
        <w:rPr>
          <w:rFonts w:ascii="Arial" w:hAnsi="Arial" w:cs="Arial"/>
          <w:sz w:val="20"/>
          <w:szCs w:val="20"/>
        </w:rPr>
      </w:pPr>
      <w:r w:rsidRPr="00D13F9C">
        <w:rPr>
          <w:rFonts w:ascii="Arial" w:hAnsi="Arial" w:cs="Arial"/>
          <w:sz w:val="20"/>
          <w:szCs w:val="20"/>
        </w:rPr>
        <w:t>Restaurant, Bar, Café; Retail: 2.5 spaces per 100 metres of gross floor area.</w:t>
      </w:r>
    </w:p>
    <w:p w:rsidR="00D13F9C" w:rsidRPr="00D13F9C" w:rsidRDefault="00D13F9C" w:rsidP="00D13F9C">
      <w:pPr>
        <w:spacing w:line="360" w:lineRule="auto"/>
        <w:rPr>
          <w:rFonts w:ascii="Arial" w:hAnsi="Arial" w:cs="Arial"/>
          <w:sz w:val="20"/>
          <w:szCs w:val="20"/>
        </w:rPr>
      </w:pPr>
    </w:p>
    <w:p w:rsidR="00D13F9C" w:rsidRPr="00D13F9C" w:rsidRDefault="00D13F9C" w:rsidP="00D13F9C">
      <w:pPr>
        <w:spacing w:line="360" w:lineRule="auto"/>
        <w:rPr>
          <w:rFonts w:ascii="Arial" w:hAnsi="Arial" w:cs="Arial"/>
          <w:sz w:val="20"/>
          <w:szCs w:val="20"/>
        </w:rPr>
      </w:pPr>
      <w:r w:rsidRPr="00D13F9C">
        <w:rPr>
          <w:rFonts w:ascii="Arial" w:hAnsi="Arial" w:cs="Arial"/>
          <w:sz w:val="20"/>
          <w:szCs w:val="20"/>
        </w:rPr>
        <w:t>A higher on-site and/or off-site parking provision may be required by the Authority after taking into account the relationship between on-site parking, off-site parking opportunities and the capacity of public transport in the area at the time of development.</w:t>
      </w:r>
    </w:p>
    <w:p w:rsidR="00D13F9C" w:rsidRPr="00D13F9C" w:rsidRDefault="00D13F9C" w:rsidP="00D13F9C">
      <w:pPr>
        <w:spacing w:line="360" w:lineRule="auto"/>
        <w:rPr>
          <w:rFonts w:ascii="Arial" w:hAnsi="Arial" w:cs="Arial"/>
          <w:sz w:val="20"/>
          <w:szCs w:val="20"/>
        </w:rPr>
      </w:pPr>
    </w:p>
    <w:p w:rsidR="00D13F9C" w:rsidRPr="00D13F9C" w:rsidRDefault="00D13F9C" w:rsidP="00D13F9C">
      <w:pPr>
        <w:spacing w:line="360" w:lineRule="auto"/>
        <w:rPr>
          <w:rFonts w:ascii="Arial" w:hAnsi="Arial" w:cs="Arial"/>
          <w:sz w:val="20"/>
          <w:szCs w:val="20"/>
        </w:rPr>
      </w:pPr>
      <w:r w:rsidRPr="00D13F9C">
        <w:rPr>
          <w:rFonts w:ascii="Arial" w:hAnsi="Arial" w:cs="Arial"/>
          <w:sz w:val="20"/>
          <w:szCs w:val="20"/>
        </w:rPr>
        <w:t>The proponent must provide the NCA a long term parking strategy for construction staging which minimises disruption to parking. The parking strategy must be adopted in the first stage of development to accommodate a minimum of 470 displaced car parking spaces.</w:t>
      </w:r>
    </w:p>
    <w:p w:rsidR="00D13F9C" w:rsidRPr="00D13F9C" w:rsidRDefault="00D13F9C" w:rsidP="00D13F9C">
      <w:pPr>
        <w:spacing w:line="360" w:lineRule="auto"/>
        <w:rPr>
          <w:rFonts w:ascii="Arial" w:hAnsi="Arial" w:cs="Arial"/>
          <w:sz w:val="20"/>
          <w:szCs w:val="20"/>
        </w:rPr>
      </w:pPr>
    </w:p>
    <w:p w:rsidR="00D13F9C" w:rsidRPr="00D13F9C" w:rsidRDefault="00D13F9C" w:rsidP="00D13F9C">
      <w:pPr>
        <w:spacing w:line="360" w:lineRule="auto"/>
        <w:rPr>
          <w:rFonts w:ascii="Arial" w:hAnsi="Arial" w:cs="Arial"/>
          <w:sz w:val="20"/>
          <w:szCs w:val="20"/>
        </w:rPr>
      </w:pPr>
      <w:r w:rsidRPr="00D13F9C">
        <w:rPr>
          <w:rFonts w:ascii="Arial" w:hAnsi="Arial" w:cs="Arial"/>
          <w:sz w:val="20"/>
          <w:szCs w:val="20"/>
        </w:rPr>
        <w:lastRenderedPageBreak/>
        <w:t>Access to the site (for parking and site servicing) should be from the side and access street generally.</w:t>
      </w:r>
    </w:p>
    <w:p w:rsidR="00D13F9C" w:rsidRPr="00D13F9C" w:rsidRDefault="00D13F9C" w:rsidP="00D13F9C">
      <w:pPr>
        <w:spacing w:line="360" w:lineRule="auto"/>
        <w:rPr>
          <w:rFonts w:ascii="Arial" w:hAnsi="Arial" w:cs="Arial"/>
          <w:sz w:val="20"/>
          <w:szCs w:val="20"/>
        </w:rPr>
      </w:pPr>
    </w:p>
    <w:p w:rsidR="00D13F9C" w:rsidRDefault="00D13F9C" w:rsidP="00D13F9C">
      <w:pPr>
        <w:spacing w:line="360" w:lineRule="auto"/>
        <w:rPr>
          <w:rFonts w:ascii="Arial" w:hAnsi="Arial" w:cs="Arial"/>
          <w:sz w:val="20"/>
          <w:szCs w:val="20"/>
        </w:rPr>
      </w:pPr>
      <w:r w:rsidRPr="00D13F9C">
        <w:rPr>
          <w:rFonts w:ascii="Arial" w:hAnsi="Arial" w:cs="Arial"/>
          <w:sz w:val="20"/>
          <w:szCs w:val="20"/>
        </w:rPr>
        <w:t>Additional parking shall be provided for vehicles associated with less consumption of energy. These include bicycles, motorcycles, small cars and car-sharing vehicles.</w:t>
      </w:r>
    </w:p>
    <w:p w:rsidR="003D5C77" w:rsidRPr="00D13F9C" w:rsidRDefault="003D5C77" w:rsidP="00D13F9C">
      <w:pPr>
        <w:spacing w:line="360" w:lineRule="auto"/>
        <w:rPr>
          <w:rFonts w:ascii="Arial" w:hAnsi="Arial" w:cs="Arial"/>
          <w:sz w:val="20"/>
          <w:szCs w:val="20"/>
        </w:rPr>
      </w:pPr>
    </w:p>
    <w:p w:rsidR="00D13F9C" w:rsidRPr="00D13F9C" w:rsidRDefault="00D13F9C" w:rsidP="00D13F9C">
      <w:pPr>
        <w:spacing w:line="360" w:lineRule="auto"/>
        <w:rPr>
          <w:rFonts w:ascii="Arial" w:hAnsi="Arial" w:cs="Arial"/>
          <w:sz w:val="20"/>
          <w:szCs w:val="20"/>
        </w:rPr>
      </w:pPr>
      <w:r w:rsidRPr="00D13F9C">
        <w:rPr>
          <w:rFonts w:ascii="Arial" w:hAnsi="Arial" w:cs="Arial"/>
          <w:sz w:val="20"/>
          <w:szCs w:val="20"/>
        </w:rPr>
        <w:t>Car parking structures should provide secure storage and related facilities for bicycle users. This would position the development as a local centre for commuting and recreational cyclists, as well as providing the opportunity for an alternative mode of transport between the many office buildings in the locale.</w:t>
      </w:r>
    </w:p>
    <w:p w:rsidR="00773924" w:rsidRDefault="00773924" w:rsidP="00D13F9C">
      <w:pPr>
        <w:pStyle w:val="Head5"/>
        <w:spacing w:line="360" w:lineRule="auto"/>
        <w:rPr>
          <w:rFonts w:ascii="Arial" w:hAnsi="Arial" w:cs="Arial"/>
          <w:b/>
          <w:color w:val="auto"/>
          <w:sz w:val="20"/>
          <w:szCs w:val="20"/>
        </w:rPr>
      </w:pPr>
      <w:r w:rsidRPr="00D13F9C">
        <w:rPr>
          <w:rFonts w:ascii="Arial" w:hAnsi="Arial" w:cs="Arial"/>
          <w:b/>
          <w:color w:val="auto"/>
          <w:sz w:val="20"/>
          <w:szCs w:val="20"/>
        </w:rPr>
        <w:t>Landscape/Streetscape</w:t>
      </w:r>
    </w:p>
    <w:p w:rsidR="004672CA" w:rsidRPr="00D13F9C" w:rsidRDefault="00736C5F" w:rsidP="00D13F9C">
      <w:pPr>
        <w:pStyle w:val="Head5"/>
        <w:spacing w:line="360" w:lineRule="auto"/>
        <w:rPr>
          <w:rFonts w:ascii="Arial" w:hAnsi="Arial" w:cs="Arial"/>
          <w:b/>
          <w:color w:val="auto"/>
          <w:sz w:val="20"/>
          <w:szCs w:val="20"/>
        </w:rPr>
      </w:pPr>
      <w:r>
        <w:rPr>
          <w:noProof/>
          <w:lang w:val="en-AU"/>
        </w:rPr>
        <w:drawing>
          <wp:anchor distT="0" distB="0" distL="114300" distR="114300" simplePos="0" relativeHeight="251658240" behindDoc="1" locked="0" layoutInCell="0" allowOverlap="1">
            <wp:simplePos x="0" y="0"/>
            <wp:positionH relativeFrom="column">
              <wp:posOffset>3810</wp:posOffset>
            </wp:positionH>
            <wp:positionV relativeFrom="paragraph">
              <wp:posOffset>2416810</wp:posOffset>
            </wp:positionV>
            <wp:extent cx="2559050" cy="3321050"/>
            <wp:effectExtent l="0" t="0" r="0" b="0"/>
            <wp:wrapTight wrapText="bothSides">
              <wp:wrapPolygon edited="0">
                <wp:start x="0" y="0"/>
                <wp:lineTo x="0" y="21435"/>
                <wp:lineTo x="21386" y="21435"/>
                <wp:lineTo x="21386" y="0"/>
                <wp:lineTo x="0" y="0"/>
              </wp:wrapPolygon>
            </wp:wrapTight>
            <wp:docPr id="5" name="Picture 5" descr="Indicative Landscape/Streetscape" title="Indicative Landscape/Street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nscape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9050" cy="332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57216" behindDoc="1" locked="0" layoutInCell="0" allowOverlap="1">
            <wp:simplePos x="0" y="0"/>
            <wp:positionH relativeFrom="column">
              <wp:posOffset>3810</wp:posOffset>
            </wp:positionH>
            <wp:positionV relativeFrom="paragraph">
              <wp:posOffset>60960</wp:posOffset>
            </wp:positionV>
            <wp:extent cx="5276850" cy="2028825"/>
            <wp:effectExtent l="0" t="0" r="0" b="9525"/>
            <wp:wrapTight wrapText="bothSides">
              <wp:wrapPolygon edited="0">
                <wp:start x="0" y="0"/>
                <wp:lineTo x="0" y="21499"/>
                <wp:lineTo x="21522" y="21499"/>
                <wp:lineTo x="21522" y="0"/>
                <wp:lineTo x="0" y="0"/>
              </wp:wrapPolygon>
            </wp:wrapTight>
            <wp:docPr id="4" name="Picture 4" descr="Landscape/Streetscape" title="Landscape/Street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sc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924" w:rsidRPr="00D13F9C" w:rsidRDefault="00773924" w:rsidP="00D13F9C">
      <w:pPr>
        <w:pStyle w:val="BODY"/>
        <w:spacing w:line="360" w:lineRule="auto"/>
        <w:rPr>
          <w:rFonts w:ascii="Arial" w:hAnsi="Arial" w:cs="Arial"/>
          <w:color w:val="auto"/>
          <w:sz w:val="20"/>
          <w:szCs w:val="20"/>
        </w:rPr>
      </w:pPr>
      <w:r w:rsidRPr="00D13F9C">
        <w:rPr>
          <w:rFonts w:ascii="Arial" w:hAnsi="Arial" w:cs="Arial"/>
          <w:color w:val="auto"/>
          <w:sz w:val="20"/>
          <w:szCs w:val="20"/>
        </w:rPr>
        <w:t>Paving, lighting, street trees and planting beds shall be of high quality and should reinforce the amenity and visual quality of the pedestrian environment. Street trees and other large trees are to be planted in deep-root soil conditions. Existing large trees are to be retained (where possible).</w:t>
      </w:r>
    </w:p>
    <w:p w:rsidR="00773924" w:rsidRPr="00D91DD7" w:rsidRDefault="004672CA" w:rsidP="004672CA">
      <w:pPr>
        <w:pStyle w:val="BODY"/>
        <w:spacing w:line="360" w:lineRule="auto"/>
        <w:rPr>
          <w:rFonts w:ascii="Arial" w:hAnsi="Arial" w:cs="Arial"/>
          <w:b/>
          <w:sz w:val="20"/>
          <w:szCs w:val="20"/>
        </w:rPr>
      </w:pPr>
      <w:r w:rsidRPr="00D91DD7">
        <w:br w:type="page"/>
      </w:r>
      <w:r w:rsidR="00773924" w:rsidRPr="00D91DD7">
        <w:rPr>
          <w:rFonts w:ascii="Arial" w:hAnsi="Arial" w:cs="Arial"/>
          <w:b/>
          <w:sz w:val="20"/>
          <w:szCs w:val="20"/>
        </w:rPr>
        <w:lastRenderedPageBreak/>
        <w:t>Public Domain and Off-Site Works</w:t>
      </w:r>
    </w:p>
    <w:p w:rsidR="00773924" w:rsidRPr="00D13F9C" w:rsidRDefault="00736C5F" w:rsidP="00D13F9C">
      <w:pPr>
        <w:pStyle w:val="BODY"/>
        <w:spacing w:line="360" w:lineRule="auto"/>
        <w:rPr>
          <w:rFonts w:ascii="Arial" w:hAnsi="Arial" w:cs="Arial"/>
          <w:color w:val="auto"/>
          <w:sz w:val="20"/>
          <w:szCs w:val="20"/>
        </w:rPr>
      </w:pPr>
      <w:bookmarkStart w:id="0" w:name="_GoBack"/>
      <w:r>
        <w:rPr>
          <w:noProof/>
          <w:lang w:val="en-AU"/>
        </w:rPr>
        <w:drawing>
          <wp:anchor distT="0" distB="0" distL="114300" distR="114300" simplePos="0" relativeHeight="251659264" behindDoc="1" locked="0" layoutInCell="0" allowOverlap="1">
            <wp:simplePos x="0" y="0"/>
            <wp:positionH relativeFrom="column">
              <wp:posOffset>3810</wp:posOffset>
            </wp:positionH>
            <wp:positionV relativeFrom="paragraph">
              <wp:posOffset>-14605</wp:posOffset>
            </wp:positionV>
            <wp:extent cx="2686050" cy="3333750"/>
            <wp:effectExtent l="0" t="0" r="0" b="0"/>
            <wp:wrapTight wrapText="bothSides">
              <wp:wrapPolygon edited="0">
                <wp:start x="0" y="0"/>
                <wp:lineTo x="0" y="21477"/>
                <wp:lineTo x="21447" y="21477"/>
                <wp:lineTo x="21447" y="0"/>
                <wp:lineTo x="0" y="0"/>
              </wp:wrapPolygon>
            </wp:wrapTight>
            <wp:docPr id="6" name="Picture 6" descr="Public Domain and Off-Site Works" title="Public Domain and Off-Site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destri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3333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73924" w:rsidRPr="00D13F9C">
        <w:rPr>
          <w:rFonts w:ascii="Arial" w:hAnsi="Arial" w:cs="Arial"/>
          <w:color w:val="auto"/>
          <w:sz w:val="20"/>
          <w:szCs w:val="20"/>
        </w:rPr>
        <w:t>A retail plaza is to be provided on the corner of Macquarie Street and the side street and furnished with lighting, seating and paving to provide an attractive public area for outdoor cafés and restaurants.</w:t>
      </w:r>
    </w:p>
    <w:p w:rsidR="00773924" w:rsidRPr="00D13F9C" w:rsidRDefault="005B70C5" w:rsidP="00D13F9C">
      <w:pPr>
        <w:pStyle w:val="BODY"/>
        <w:spacing w:line="360" w:lineRule="auto"/>
        <w:rPr>
          <w:rFonts w:ascii="Arial" w:hAnsi="Arial" w:cs="Arial"/>
          <w:color w:val="auto"/>
          <w:sz w:val="20"/>
          <w:szCs w:val="20"/>
        </w:rPr>
      </w:pPr>
      <w:r>
        <w:rPr>
          <w:rFonts w:ascii="Arial" w:hAnsi="Arial" w:cs="Arial"/>
          <w:color w:val="auto"/>
          <w:sz w:val="20"/>
          <w:szCs w:val="20"/>
        </w:rPr>
        <w:t>The developer</w:t>
      </w:r>
      <w:r w:rsidR="00773924" w:rsidRPr="00D13F9C">
        <w:rPr>
          <w:rFonts w:ascii="Arial" w:hAnsi="Arial" w:cs="Arial"/>
          <w:color w:val="auto"/>
          <w:sz w:val="20"/>
          <w:szCs w:val="20"/>
        </w:rPr>
        <w:t xml:space="preserve"> is to carry out off-site works to create a high quality public domain commensurate with a vibrant and attractive mixed use precinct. </w:t>
      </w:r>
    </w:p>
    <w:p w:rsidR="00773924" w:rsidRPr="00D13F9C" w:rsidRDefault="00773924" w:rsidP="00D13F9C">
      <w:pPr>
        <w:pStyle w:val="BODY"/>
        <w:spacing w:line="360" w:lineRule="auto"/>
        <w:rPr>
          <w:rFonts w:ascii="Arial" w:hAnsi="Arial" w:cs="Arial"/>
          <w:color w:val="auto"/>
          <w:sz w:val="20"/>
          <w:szCs w:val="20"/>
        </w:rPr>
      </w:pPr>
      <w:r w:rsidRPr="00D13F9C">
        <w:rPr>
          <w:rFonts w:ascii="Arial" w:hAnsi="Arial" w:cs="Arial"/>
          <w:color w:val="auto"/>
          <w:sz w:val="20"/>
          <w:szCs w:val="20"/>
        </w:rPr>
        <w:t xml:space="preserve">On-street parking, verge landscaping, paving, lighting and furniture shall be provided using high quality durable materials. </w:t>
      </w:r>
    </w:p>
    <w:p w:rsidR="00D13F9C" w:rsidRPr="00D13F9C" w:rsidRDefault="00D13F9C" w:rsidP="00D13F9C">
      <w:pPr>
        <w:pStyle w:val="BODY"/>
        <w:spacing w:line="360" w:lineRule="auto"/>
        <w:rPr>
          <w:rFonts w:ascii="Arial" w:hAnsi="Arial" w:cs="Arial"/>
          <w:color w:val="auto"/>
          <w:sz w:val="20"/>
          <w:szCs w:val="20"/>
        </w:rPr>
      </w:pPr>
    </w:p>
    <w:p w:rsidR="00773924" w:rsidRPr="00D13F9C" w:rsidRDefault="00773924" w:rsidP="00D13F9C">
      <w:pPr>
        <w:pStyle w:val="Head5"/>
        <w:spacing w:line="360" w:lineRule="auto"/>
        <w:rPr>
          <w:rFonts w:ascii="Arial" w:hAnsi="Arial" w:cs="Arial"/>
          <w:b/>
          <w:color w:val="auto"/>
          <w:sz w:val="20"/>
          <w:szCs w:val="20"/>
        </w:rPr>
      </w:pPr>
      <w:r w:rsidRPr="00D13F9C">
        <w:rPr>
          <w:rFonts w:ascii="Arial" w:hAnsi="Arial" w:cs="Arial"/>
          <w:b/>
          <w:color w:val="auto"/>
          <w:sz w:val="20"/>
          <w:szCs w:val="20"/>
        </w:rPr>
        <w:t>Sustainable Development</w:t>
      </w:r>
    </w:p>
    <w:p w:rsidR="00D13F9C" w:rsidRPr="00D13F9C" w:rsidRDefault="00773924" w:rsidP="00D13F9C">
      <w:pPr>
        <w:pStyle w:val="BODY"/>
        <w:spacing w:line="360" w:lineRule="auto"/>
        <w:rPr>
          <w:rFonts w:ascii="Arial" w:hAnsi="Arial" w:cs="Arial"/>
          <w:color w:val="auto"/>
          <w:sz w:val="20"/>
          <w:szCs w:val="20"/>
        </w:rPr>
      </w:pPr>
      <w:r w:rsidRPr="00D13F9C">
        <w:rPr>
          <w:rFonts w:ascii="Arial" w:hAnsi="Arial" w:cs="Arial"/>
          <w:color w:val="auto"/>
          <w:sz w:val="20"/>
          <w:szCs w:val="20"/>
        </w:rPr>
        <w:t>Development proposals will demonstrate a high level of performance in terms of environmental design including energy efficiency, climate management and water sensitive urban design.</w:t>
      </w:r>
    </w:p>
    <w:p w:rsidR="00D13F9C" w:rsidRPr="00D13F9C" w:rsidRDefault="00D13F9C" w:rsidP="00D13F9C">
      <w:pPr>
        <w:spacing w:line="360" w:lineRule="auto"/>
        <w:rPr>
          <w:rFonts w:ascii="Arial" w:hAnsi="Arial" w:cs="Arial"/>
          <w:b/>
          <w:sz w:val="20"/>
          <w:szCs w:val="20"/>
        </w:rPr>
      </w:pPr>
      <w:r w:rsidRPr="00D13F9C">
        <w:rPr>
          <w:rFonts w:ascii="Arial" w:hAnsi="Arial" w:cs="Arial"/>
          <w:b/>
          <w:sz w:val="20"/>
          <w:szCs w:val="20"/>
        </w:rPr>
        <w:t>Public Notification</w:t>
      </w:r>
    </w:p>
    <w:p w:rsidR="00D13F9C" w:rsidRPr="00D13F9C" w:rsidRDefault="00D13F9C" w:rsidP="00D13F9C">
      <w:pPr>
        <w:spacing w:line="360" w:lineRule="auto"/>
        <w:rPr>
          <w:rFonts w:ascii="Arial" w:hAnsi="Arial" w:cs="Arial"/>
          <w:b/>
          <w:sz w:val="20"/>
          <w:szCs w:val="20"/>
        </w:rPr>
      </w:pPr>
    </w:p>
    <w:p w:rsidR="00D13F9C" w:rsidRPr="00D13F9C" w:rsidRDefault="00D13F9C" w:rsidP="00D13F9C">
      <w:pPr>
        <w:spacing w:line="360" w:lineRule="auto"/>
        <w:rPr>
          <w:rFonts w:ascii="Arial" w:hAnsi="Arial" w:cs="Arial"/>
          <w:sz w:val="20"/>
          <w:szCs w:val="20"/>
        </w:rPr>
      </w:pPr>
      <w:r w:rsidRPr="00D13F9C">
        <w:rPr>
          <w:rFonts w:ascii="Arial" w:hAnsi="Arial" w:cs="Arial"/>
          <w:sz w:val="20"/>
          <w:szCs w:val="20"/>
        </w:rPr>
        <w:t>All applications for Works Approval for major development are subject to public notification and consultation. The determination of those applications that constitute major works is at the discretion of the National Capital Autho</w:t>
      </w:r>
      <w:r w:rsidR="00134162">
        <w:rPr>
          <w:rFonts w:ascii="Arial" w:hAnsi="Arial" w:cs="Arial"/>
          <w:sz w:val="20"/>
          <w:szCs w:val="20"/>
        </w:rPr>
        <w:t>rity.</w:t>
      </w:r>
    </w:p>
    <w:p w:rsidR="00773924" w:rsidRPr="00773924" w:rsidRDefault="00773924" w:rsidP="00773924">
      <w:pPr>
        <w:pStyle w:val="BODY"/>
        <w:rPr>
          <w:rFonts w:ascii="Arial" w:hAnsi="Arial" w:cs="Arial"/>
          <w:color w:val="auto"/>
        </w:rPr>
      </w:pPr>
    </w:p>
    <w:p w:rsidR="00773924" w:rsidRPr="00773924" w:rsidRDefault="00773924" w:rsidP="00773924">
      <w:pPr>
        <w:pStyle w:val="HEADING30"/>
        <w:rPr>
          <w:rFonts w:ascii="Arial" w:hAnsi="Arial" w:cs="Arial"/>
          <w:color w:val="auto"/>
        </w:rPr>
      </w:pPr>
      <w:r w:rsidRPr="00773924">
        <w:rPr>
          <w:rFonts w:ascii="Arial" w:hAnsi="Arial" w:cs="Arial"/>
          <w:color w:val="auto"/>
        </w:rPr>
        <w:t>Part Two Administration and Implementation</w:t>
      </w:r>
    </w:p>
    <w:p w:rsidR="00773924" w:rsidRPr="00773924" w:rsidRDefault="00773924" w:rsidP="00773924">
      <w:pPr>
        <w:pStyle w:val="Head4"/>
        <w:rPr>
          <w:rFonts w:ascii="Arial" w:hAnsi="Arial" w:cs="Arial"/>
          <w:caps w:val="0"/>
          <w:color w:val="auto"/>
        </w:rPr>
      </w:pPr>
      <w:r w:rsidRPr="00773924">
        <w:rPr>
          <w:rFonts w:ascii="Arial" w:hAnsi="Arial" w:cs="Arial"/>
          <w:caps w:val="0"/>
          <w:color w:val="auto"/>
        </w:rPr>
        <w:t>e)</w:t>
      </w:r>
      <w:r w:rsidRPr="00773924">
        <w:rPr>
          <w:rFonts w:ascii="Arial" w:hAnsi="Arial" w:cs="Arial"/>
          <w:caps w:val="0"/>
          <w:color w:val="auto"/>
        </w:rPr>
        <w:tab/>
        <w:t>Amend the Plan to recognis</w:t>
      </w:r>
      <w:r w:rsidR="00B536F6">
        <w:rPr>
          <w:rFonts w:ascii="Arial" w:hAnsi="Arial" w:cs="Arial"/>
          <w:caps w:val="0"/>
          <w:color w:val="auto"/>
        </w:rPr>
        <w:t>e consequential changes of</w:t>
      </w:r>
      <w:r w:rsidRPr="00773924">
        <w:rPr>
          <w:rFonts w:ascii="Arial" w:hAnsi="Arial" w:cs="Arial"/>
          <w:caps w:val="0"/>
          <w:color w:val="auto"/>
        </w:rPr>
        <w:t xml:space="preserve"> Amendment 57 to page numbers, section titles and contents page. </w:t>
      </w:r>
    </w:p>
    <w:p w:rsidR="00451D87" w:rsidRDefault="00451D87">
      <w:pPr>
        <w:pStyle w:val="SchedSectionBreak"/>
      </w:pPr>
    </w:p>
    <w:p w:rsidR="00B536F6" w:rsidRDefault="00B536F6" w:rsidP="00B536F6"/>
    <w:p w:rsidR="00B536F6" w:rsidRDefault="00B536F6" w:rsidP="00B536F6"/>
    <w:p w:rsidR="00B536F6" w:rsidRPr="00B536F6" w:rsidRDefault="00B536F6" w:rsidP="00B536F6">
      <w:pPr>
        <w:sectPr w:rsidR="00B536F6" w:rsidRPr="00B536F6" w:rsidSect="00F55498">
          <w:type w:val="continuous"/>
          <w:pgSz w:w="11907" w:h="16839" w:code="9"/>
          <w:pgMar w:top="1440" w:right="1797" w:bottom="1440" w:left="1797" w:header="709" w:footer="709" w:gutter="0"/>
          <w:cols w:space="708"/>
          <w:docGrid w:linePitch="360"/>
        </w:sectPr>
      </w:pPr>
    </w:p>
    <w:p w:rsidR="00451D87" w:rsidRPr="0023603C" w:rsidRDefault="00451D87">
      <w:pPr>
        <w:pStyle w:val="NoteEnd"/>
        <w:pBdr>
          <w:top w:val="single" w:sz="4" w:space="3" w:color="auto"/>
        </w:pBdr>
        <w:spacing w:before="480"/>
        <w:rPr>
          <w:rFonts w:ascii="Arial" w:hAnsi="Arial"/>
          <w:b/>
          <w:sz w:val="24"/>
        </w:rPr>
      </w:pPr>
      <w:r w:rsidRPr="0023603C">
        <w:rPr>
          <w:rFonts w:ascii="Arial" w:hAnsi="Arial"/>
          <w:b/>
          <w:sz w:val="24"/>
        </w:rPr>
        <w:lastRenderedPageBreak/>
        <w:t>Note</w:t>
      </w:r>
    </w:p>
    <w:p w:rsidR="00451D87" w:rsidRPr="0023603C" w:rsidRDefault="00451D87">
      <w:pPr>
        <w:pStyle w:val="NoteEnd"/>
      </w:pPr>
      <w:r w:rsidRPr="0023603C">
        <w:lastRenderedPageBreak/>
        <w:t>1.</w:t>
      </w:r>
      <w:r w:rsidRPr="0023603C">
        <w:tab/>
        <w:t xml:space="preserve">All legislative instruments and compilations are registered on the Federal Register of Legislative Instruments kept under the </w:t>
      </w:r>
      <w:r w:rsidRPr="0023603C">
        <w:rPr>
          <w:i/>
        </w:rPr>
        <w:t>Legislative Instruments Act 2003</w:t>
      </w:r>
      <w:r w:rsidRPr="0023603C">
        <w:t>.</w:t>
      </w:r>
      <w:r w:rsidRPr="0023603C">
        <w:rPr>
          <w:i/>
        </w:rPr>
        <w:t xml:space="preserve"> </w:t>
      </w:r>
      <w:r w:rsidRPr="0023603C">
        <w:t xml:space="preserve">See </w:t>
      </w:r>
      <w:r w:rsidRPr="0023603C">
        <w:rPr>
          <w:u w:val="single"/>
        </w:rPr>
        <w:t>http://www.frli.gov.au</w:t>
      </w:r>
      <w:r w:rsidRPr="0023603C">
        <w:t>.</w:t>
      </w:r>
    </w:p>
    <w:p w:rsidR="00451D87" w:rsidRPr="0023603C" w:rsidRDefault="00451D87">
      <w:pPr>
        <w:pStyle w:val="NotesSectionBreak"/>
        <w:sectPr w:rsidR="00451D87" w:rsidRPr="0023603C" w:rsidSect="00F55498">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440" w:right="1797" w:bottom="1440" w:left="1797" w:header="709" w:footer="709" w:gutter="0"/>
          <w:cols w:space="708"/>
          <w:docGrid w:linePitch="360"/>
        </w:sectPr>
      </w:pPr>
    </w:p>
    <w:p w:rsidR="00F37E63" w:rsidRPr="0023603C" w:rsidRDefault="00F37E63" w:rsidP="00674B00"/>
    <w:sectPr w:rsidR="00F37E63" w:rsidRPr="0023603C" w:rsidSect="00F55498">
      <w:headerReference w:type="even" r:id="rId25"/>
      <w:headerReference w:type="default" r:id="rId26"/>
      <w:footerReference w:type="even" r:id="rId27"/>
      <w:footerReference w:type="default" r:id="rId28"/>
      <w:footerReference w:type="first" r:id="rId29"/>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CD4" w:rsidRDefault="00791CD4">
      <w:r>
        <w:separator/>
      </w:r>
    </w:p>
  </w:endnote>
  <w:endnote w:type="continuationSeparator" w:id="0">
    <w:p w:rsidR="00791CD4" w:rsidRDefault="0079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modern"/>
    <w:notTrueType/>
    <w:pitch w:val="variable"/>
    <w:sig w:usb0="00000003" w:usb1="00000000" w:usb2="00000000" w:usb3="00000000" w:csb0="00000001" w:csb1="00000000"/>
  </w:font>
  <w:font w:name="DIN-Bold">
    <w:panose1 w:val="00000000000000000000"/>
    <w:charset w:val="00"/>
    <w:family w:val="modern"/>
    <w:notTrueType/>
    <w:pitch w:val="variable"/>
    <w:sig w:usb0="00000003" w:usb1="00000000" w:usb2="00000000" w:usb3="00000000" w:csb0="00000001" w:csb1="00000000"/>
  </w:font>
  <w:font w:name="DIN-Medium">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B8" w:rsidRDefault="00D641B8">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D641B8">
      <w:tc>
        <w:tcPr>
          <w:tcW w:w="1134" w:type="dxa"/>
        </w:tcPr>
        <w:p w:rsidR="00D641B8" w:rsidRPr="003D7214" w:rsidRDefault="00D641B8">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736C5F">
            <w:rPr>
              <w:rStyle w:val="PageNumber"/>
              <w:rFonts w:cs="Arial"/>
              <w:noProof/>
              <w:szCs w:val="22"/>
            </w:rPr>
            <w:t>2</w:t>
          </w:r>
          <w:r w:rsidRPr="003D7214">
            <w:rPr>
              <w:rStyle w:val="PageNumber"/>
              <w:rFonts w:cs="Arial"/>
              <w:szCs w:val="22"/>
            </w:rPr>
            <w:fldChar w:fldCharType="end"/>
          </w:r>
        </w:p>
      </w:tc>
      <w:tc>
        <w:tcPr>
          <w:tcW w:w="6095" w:type="dxa"/>
        </w:tcPr>
        <w:p w:rsidR="00D641B8" w:rsidRPr="004F5D6D" w:rsidRDefault="00D641B8">
          <w:pPr>
            <w:pStyle w:val="Footer"/>
            <w:spacing w:before="20" w:line="240" w:lineRule="exact"/>
          </w:pPr>
          <w:r>
            <w:t>National Capital Plan – Amendment 57 – Blocks 12 &amp; 13 Section 9 Barton</w:t>
          </w:r>
        </w:p>
      </w:tc>
      <w:tc>
        <w:tcPr>
          <w:tcW w:w="1134" w:type="dxa"/>
        </w:tcPr>
        <w:p w:rsidR="00D641B8" w:rsidRPr="00451BF5" w:rsidRDefault="00D641B8">
          <w:pPr>
            <w:spacing w:line="240" w:lineRule="exact"/>
            <w:jc w:val="right"/>
            <w:rPr>
              <w:rStyle w:val="PageNumber"/>
            </w:rPr>
          </w:pPr>
        </w:p>
      </w:tc>
    </w:tr>
  </w:tbl>
  <w:p w:rsidR="00D641B8" w:rsidRDefault="00D641B8" w:rsidP="00D21740">
    <w:pPr>
      <w:pStyle w:val="FooterDraft"/>
    </w:pPr>
  </w:p>
  <w:p w:rsidR="00D641B8" w:rsidRDefault="00D641B8">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B8" w:rsidRDefault="00D641B8">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D641B8">
      <w:tc>
        <w:tcPr>
          <w:tcW w:w="1134" w:type="dxa"/>
        </w:tcPr>
        <w:p w:rsidR="00D641B8" w:rsidRDefault="00D641B8">
          <w:pPr>
            <w:spacing w:line="240" w:lineRule="exact"/>
          </w:pPr>
        </w:p>
      </w:tc>
      <w:tc>
        <w:tcPr>
          <w:tcW w:w="6095" w:type="dxa"/>
        </w:tcPr>
        <w:p w:rsidR="00D641B8" w:rsidRPr="004F5D6D" w:rsidRDefault="00D641B8">
          <w:pPr>
            <w:pStyle w:val="FooterCitation"/>
          </w:pPr>
          <w:r w:rsidRPr="004F5D6D">
            <w:fldChar w:fldCharType="begin"/>
          </w:r>
          <w:r w:rsidRPr="004F5D6D">
            <w:instrText xml:space="preserve"> STYLEREF  Title  </w:instrText>
          </w:r>
          <w:r>
            <w:fldChar w:fldCharType="separate"/>
          </w:r>
          <w:r w:rsidR="00736C5F">
            <w:rPr>
              <w:b/>
              <w:bCs/>
              <w:noProof/>
              <w:lang w:val="en-US"/>
            </w:rPr>
            <w:t>Error! No text of specified style in document.</w:t>
          </w:r>
          <w:r w:rsidRPr="004F5D6D">
            <w:fldChar w:fldCharType="end"/>
          </w:r>
        </w:p>
      </w:tc>
      <w:tc>
        <w:tcPr>
          <w:tcW w:w="1134" w:type="dxa"/>
        </w:tcPr>
        <w:p w:rsidR="00D641B8" w:rsidRPr="003D7214" w:rsidRDefault="00D641B8">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736C5F">
            <w:rPr>
              <w:rStyle w:val="PageNumber"/>
              <w:rFonts w:cs="Arial"/>
              <w:noProof/>
              <w:szCs w:val="22"/>
            </w:rPr>
            <w:t>1</w:t>
          </w:r>
          <w:r w:rsidRPr="003D7214">
            <w:rPr>
              <w:rStyle w:val="PageNumber"/>
              <w:rFonts w:cs="Arial"/>
              <w:szCs w:val="22"/>
            </w:rPr>
            <w:fldChar w:fldCharType="end"/>
          </w:r>
        </w:p>
      </w:tc>
    </w:tr>
  </w:tbl>
  <w:p w:rsidR="00D641B8" w:rsidRDefault="00D641B8" w:rsidP="00D21740">
    <w:pPr>
      <w:pStyle w:val="FooterDraft"/>
    </w:pPr>
  </w:p>
  <w:p w:rsidR="00D641B8" w:rsidRDefault="00D641B8">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B8" w:rsidRDefault="00D641B8">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641B8">
      <w:tc>
        <w:tcPr>
          <w:tcW w:w="1134" w:type="dxa"/>
          <w:shd w:val="clear" w:color="auto" w:fill="auto"/>
        </w:tcPr>
        <w:p w:rsidR="00D641B8" w:rsidRPr="003D7214" w:rsidRDefault="00D641B8">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736C5F">
            <w:rPr>
              <w:rStyle w:val="PageNumber"/>
              <w:rFonts w:cs="Arial"/>
              <w:noProof/>
            </w:rPr>
            <w:t>8</w:t>
          </w:r>
          <w:r w:rsidRPr="003D7214">
            <w:rPr>
              <w:rStyle w:val="PageNumber"/>
              <w:rFonts w:cs="Arial"/>
            </w:rPr>
            <w:fldChar w:fldCharType="end"/>
          </w:r>
        </w:p>
      </w:tc>
      <w:tc>
        <w:tcPr>
          <w:tcW w:w="6095" w:type="dxa"/>
          <w:shd w:val="clear" w:color="auto" w:fill="auto"/>
        </w:tcPr>
        <w:p w:rsidR="00D641B8" w:rsidRPr="004F5D6D" w:rsidRDefault="00D641B8">
          <w:pPr>
            <w:pStyle w:val="FooterCitation"/>
          </w:pPr>
          <w:r w:rsidRPr="00EF2F9D">
            <w:fldChar w:fldCharType="begin"/>
          </w:r>
          <w:r w:rsidRPr="00EF2F9D">
            <w:instrText xml:space="preserve"> REF  Citation\*charformat </w:instrText>
          </w:r>
          <w:r w:rsidRPr="00EF2F9D">
            <w:fldChar w:fldCharType="separate"/>
          </w:r>
          <w:r w:rsidR="005C28EA">
            <w:rPr>
              <w:b/>
              <w:bCs/>
              <w:lang w:val="en-US"/>
            </w:rPr>
            <w:t>Error! Reference source not found.</w:t>
          </w:r>
          <w:r w:rsidRPr="00EF2F9D">
            <w:fldChar w:fldCharType="end"/>
          </w:r>
        </w:p>
      </w:tc>
      <w:tc>
        <w:tcPr>
          <w:tcW w:w="1134" w:type="dxa"/>
          <w:shd w:val="clear" w:color="auto" w:fill="auto"/>
        </w:tcPr>
        <w:p w:rsidR="00D641B8" w:rsidRPr="00451BF5" w:rsidRDefault="00D641B8">
          <w:pPr>
            <w:spacing w:line="240" w:lineRule="exact"/>
            <w:jc w:val="right"/>
            <w:rPr>
              <w:rStyle w:val="PageNumber"/>
            </w:rPr>
          </w:pPr>
        </w:p>
      </w:tc>
    </w:tr>
  </w:tbl>
  <w:p w:rsidR="00D641B8" w:rsidRDefault="00D641B8" w:rsidP="00D21740">
    <w:pPr>
      <w:pStyle w:val="FooterDraft"/>
    </w:pPr>
  </w:p>
  <w:p w:rsidR="00D641B8" w:rsidRDefault="00D641B8">
    <w:pPr>
      <w:pStyle w:val="FooterInfo"/>
    </w:pPr>
    <w:r w:rsidRPr="00974D8C">
      <w:t xml:space="preserve"> </w:t>
    </w:r>
    <w:r>
      <w:t xml:space="preserve"> </w:t>
    </w:r>
  </w:p>
  <w:p w:rsidR="00D641B8" w:rsidRPr="0055794B" w:rsidRDefault="00D641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B8" w:rsidRDefault="00D641B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641B8">
      <w:tc>
        <w:tcPr>
          <w:tcW w:w="1134" w:type="dxa"/>
          <w:shd w:val="clear" w:color="auto" w:fill="auto"/>
        </w:tcPr>
        <w:p w:rsidR="00D641B8" w:rsidRDefault="00D641B8">
          <w:pPr>
            <w:spacing w:line="240" w:lineRule="exact"/>
          </w:pPr>
        </w:p>
      </w:tc>
      <w:tc>
        <w:tcPr>
          <w:tcW w:w="6095" w:type="dxa"/>
          <w:shd w:val="clear" w:color="auto" w:fill="auto"/>
        </w:tcPr>
        <w:p w:rsidR="00D641B8" w:rsidRPr="004F5D6D" w:rsidRDefault="001F5DA4">
          <w:pPr>
            <w:pStyle w:val="FooterCitation"/>
          </w:pPr>
          <w:r>
            <w:t>National Capital Plan – Amendment 57 – Blocks 12 &amp; 13 Section 9 Barton</w:t>
          </w:r>
        </w:p>
      </w:tc>
      <w:tc>
        <w:tcPr>
          <w:tcW w:w="1134" w:type="dxa"/>
          <w:shd w:val="clear" w:color="auto" w:fill="auto"/>
        </w:tcPr>
        <w:p w:rsidR="00D641B8" w:rsidRPr="003D7214" w:rsidRDefault="00D641B8">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D91DD7">
            <w:rPr>
              <w:rStyle w:val="PageNumber"/>
              <w:rFonts w:cs="Arial"/>
              <w:noProof/>
            </w:rPr>
            <w:t>9</w:t>
          </w:r>
          <w:r w:rsidRPr="003D7214">
            <w:rPr>
              <w:rStyle w:val="PageNumber"/>
              <w:rFonts w:cs="Arial"/>
            </w:rPr>
            <w:fldChar w:fldCharType="end"/>
          </w:r>
        </w:p>
      </w:tc>
    </w:tr>
  </w:tbl>
  <w:p w:rsidR="00D641B8" w:rsidRDefault="00D641B8" w:rsidP="00D21740">
    <w:pPr>
      <w:pStyle w:val="FooterDraft"/>
    </w:pPr>
  </w:p>
  <w:p w:rsidR="00D641B8" w:rsidRDefault="00D641B8">
    <w:pPr>
      <w:pStyle w:val="FooterInfo"/>
    </w:pPr>
    <w:r w:rsidRPr="00974D8C">
      <w:t xml:space="preserve"> </w:t>
    </w:r>
    <w:r>
      <w:t xml:space="preserve"> </w:t>
    </w:r>
  </w:p>
  <w:p w:rsidR="00D641B8" w:rsidRPr="00C83A6D" w:rsidRDefault="00D641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B8" w:rsidRPr="00556EB9" w:rsidRDefault="00D641B8">
    <w:pPr>
      <w:pStyle w:val="FooterCitation"/>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B8" w:rsidRDefault="00D641B8"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641B8">
      <w:tc>
        <w:tcPr>
          <w:tcW w:w="1134" w:type="dxa"/>
        </w:tcPr>
        <w:p w:rsidR="00D641B8" w:rsidRPr="003D7214" w:rsidRDefault="00D641B8"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2</w:t>
          </w:r>
          <w:r w:rsidRPr="003D7214">
            <w:rPr>
              <w:rStyle w:val="PageNumber"/>
              <w:rFonts w:cs="Arial"/>
              <w:szCs w:val="22"/>
            </w:rPr>
            <w:fldChar w:fldCharType="end"/>
          </w:r>
        </w:p>
      </w:tc>
      <w:tc>
        <w:tcPr>
          <w:tcW w:w="6095" w:type="dxa"/>
        </w:tcPr>
        <w:p w:rsidR="00D641B8" w:rsidRPr="004F5D6D" w:rsidRDefault="00D641B8" w:rsidP="00BD545A">
          <w:pPr>
            <w:pStyle w:val="Footer"/>
            <w:spacing w:before="20" w:line="240" w:lineRule="exact"/>
          </w:pPr>
          <w:r>
            <w:fldChar w:fldCharType="begin"/>
          </w:r>
          <w:r>
            <w:instrText xml:space="preserve"> REF  Citation </w:instrText>
          </w:r>
          <w:r>
            <w:fldChar w:fldCharType="separate"/>
          </w:r>
          <w:r w:rsidR="005C28EA">
            <w:rPr>
              <w:b/>
              <w:bCs/>
              <w:lang w:val="en-US"/>
            </w:rPr>
            <w:t>Error! Reference source not found.</w:t>
          </w:r>
          <w:r>
            <w:fldChar w:fldCharType="end"/>
          </w:r>
        </w:p>
      </w:tc>
      <w:tc>
        <w:tcPr>
          <w:tcW w:w="1134" w:type="dxa"/>
        </w:tcPr>
        <w:p w:rsidR="00D641B8" w:rsidRPr="00451BF5" w:rsidRDefault="00D641B8" w:rsidP="00BD545A">
          <w:pPr>
            <w:spacing w:line="240" w:lineRule="exact"/>
            <w:jc w:val="right"/>
            <w:rPr>
              <w:rStyle w:val="PageNumber"/>
            </w:rPr>
          </w:pPr>
        </w:p>
      </w:tc>
    </w:tr>
  </w:tbl>
  <w:p w:rsidR="00D641B8" w:rsidRDefault="00D641B8" w:rsidP="00D21740">
    <w:pPr>
      <w:pStyle w:val="FooterDraft"/>
    </w:pPr>
  </w:p>
  <w:p w:rsidR="00D641B8" w:rsidRDefault="00D641B8" w:rsidP="00BD545A">
    <w:pPr>
      <w:pStyle w:val="FooterInfo"/>
    </w:pPr>
    <w:r w:rsidRPr="00974D8C">
      <w:t xml:space="preserve"> </w: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B8" w:rsidRDefault="00D641B8"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641B8">
      <w:tc>
        <w:tcPr>
          <w:tcW w:w="1134" w:type="dxa"/>
        </w:tcPr>
        <w:p w:rsidR="00D641B8" w:rsidRDefault="00D641B8" w:rsidP="00BD545A">
          <w:pPr>
            <w:spacing w:line="240" w:lineRule="exact"/>
          </w:pPr>
        </w:p>
      </w:tc>
      <w:tc>
        <w:tcPr>
          <w:tcW w:w="6095" w:type="dxa"/>
        </w:tcPr>
        <w:p w:rsidR="00D641B8" w:rsidRPr="004F5D6D" w:rsidRDefault="00D641B8" w:rsidP="00BD545A">
          <w:pPr>
            <w:pStyle w:val="FooterCitation"/>
          </w:pPr>
          <w:r w:rsidRPr="004F5D6D">
            <w:fldChar w:fldCharType="begin"/>
          </w:r>
          <w:r w:rsidRPr="004F5D6D">
            <w:instrText xml:space="preserve"> STYLEREF  Title  </w:instrText>
          </w:r>
          <w:r>
            <w:fldChar w:fldCharType="separate"/>
          </w:r>
          <w:r w:rsidR="005C28EA">
            <w:rPr>
              <w:noProof/>
            </w:rPr>
            <w:t>National Capital Plan – Amendment 57 – Blocks 12 &amp; 13 Section 9 Barton</w:t>
          </w:r>
          <w:r w:rsidRPr="004F5D6D">
            <w:fldChar w:fldCharType="end"/>
          </w:r>
        </w:p>
      </w:tc>
      <w:tc>
        <w:tcPr>
          <w:tcW w:w="1134" w:type="dxa"/>
        </w:tcPr>
        <w:p w:rsidR="00D641B8" w:rsidRPr="003D7214" w:rsidRDefault="00D641B8"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3</w:t>
          </w:r>
          <w:r w:rsidRPr="003D7214">
            <w:rPr>
              <w:rStyle w:val="PageNumber"/>
              <w:rFonts w:cs="Arial"/>
              <w:szCs w:val="22"/>
            </w:rPr>
            <w:fldChar w:fldCharType="end"/>
          </w:r>
        </w:p>
      </w:tc>
    </w:tr>
  </w:tbl>
  <w:p w:rsidR="00D641B8" w:rsidRDefault="00D641B8" w:rsidP="00D21740">
    <w:pPr>
      <w:pStyle w:val="FooterDraft"/>
    </w:pPr>
  </w:p>
  <w:p w:rsidR="00D641B8" w:rsidRDefault="00D641B8" w:rsidP="00BD545A">
    <w:pPr>
      <w:pStyle w:val="FooterInfo"/>
    </w:pPr>
    <w:r w:rsidRPr="00974D8C">
      <w:t xml:space="preserve"> </w:t>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B8" w:rsidRDefault="00D641B8" w:rsidP="00D21740">
    <w:pPr>
      <w:pStyle w:val="FooterDraft"/>
    </w:pPr>
  </w:p>
  <w:p w:rsidR="00D641B8" w:rsidRPr="00974D8C" w:rsidRDefault="00D641B8">
    <w:pPr>
      <w:pStyle w:val="FooterInfo"/>
    </w:pPr>
    <w:r>
      <w:rPr>
        <w:noProof/>
      </w:rPr>
      <w:t>0823198A-080924Z.doc</w:t>
    </w:r>
    <w:r w:rsidRPr="00974D8C">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CD4" w:rsidRDefault="00791CD4">
      <w:r>
        <w:separator/>
      </w:r>
    </w:p>
  </w:footnote>
  <w:footnote w:type="continuationSeparator" w:id="0">
    <w:p w:rsidR="00791CD4" w:rsidRDefault="00791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94"/>
      <w:gridCol w:w="6891"/>
    </w:tblGrid>
    <w:tr w:rsidR="00D641B8">
      <w:trPr>
        <w:cantSplit/>
      </w:trPr>
      <w:tc>
        <w:tcPr>
          <w:tcW w:w="1494" w:type="dxa"/>
        </w:tcPr>
        <w:p w:rsidR="00D641B8" w:rsidRDefault="00D641B8" w:rsidP="00F55498">
          <w:pPr>
            <w:pStyle w:val="HeaderLiteEven"/>
          </w:pPr>
          <w:r>
            <w:fldChar w:fldCharType="begin"/>
          </w:r>
          <w:r>
            <w:instrText xml:space="preserve"> STYLEREF CharSchNo \*Charformat </w:instrText>
          </w:r>
          <w:r>
            <w:fldChar w:fldCharType="separate"/>
          </w:r>
          <w:r w:rsidR="00736C5F">
            <w:rPr>
              <w:noProof/>
            </w:rPr>
            <w:t>Schedule 1</w:t>
          </w:r>
          <w:r>
            <w:fldChar w:fldCharType="end"/>
          </w:r>
        </w:p>
      </w:tc>
      <w:tc>
        <w:tcPr>
          <w:tcW w:w="6891" w:type="dxa"/>
          <w:vAlign w:val="bottom"/>
        </w:tcPr>
        <w:p w:rsidR="00D641B8" w:rsidRDefault="00D641B8" w:rsidP="00F55498">
          <w:pPr>
            <w:pStyle w:val="HeaderLiteEven"/>
          </w:pPr>
          <w:r>
            <w:fldChar w:fldCharType="begin"/>
          </w:r>
          <w:r>
            <w:instrText xml:space="preserve"> STYLEREF CharSchText \*Charformat </w:instrText>
          </w:r>
          <w:r>
            <w:fldChar w:fldCharType="separate"/>
          </w:r>
          <w:r w:rsidR="00736C5F">
            <w:rPr>
              <w:noProof/>
            </w:rPr>
            <w:t>Amendment</w:t>
          </w:r>
          <w:r>
            <w:fldChar w:fldCharType="end"/>
          </w:r>
        </w:p>
      </w:tc>
    </w:tr>
    <w:tr w:rsidR="00D641B8">
      <w:trPr>
        <w:cantSplit/>
      </w:trPr>
      <w:tc>
        <w:tcPr>
          <w:tcW w:w="1494" w:type="dxa"/>
        </w:tcPr>
        <w:p w:rsidR="00D641B8" w:rsidRDefault="00D641B8" w:rsidP="00F55498">
          <w:pPr>
            <w:pStyle w:val="HeaderLiteEven"/>
          </w:pPr>
          <w:r>
            <w:fldChar w:fldCharType="begin"/>
          </w:r>
          <w:r>
            <w:instrText xml:space="preserve"> STYLEREF CharAmSchPTNo \*Charformat </w:instrText>
          </w:r>
          <w:r>
            <w:fldChar w:fldCharType="end"/>
          </w:r>
        </w:p>
      </w:tc>
      <w:tc>
        <w:tcPr>
          <w:tcW w:w="6891" w:type="dxa"/>
          <w:vAlign w:val="bottom"/>
        </w:tcPr>
        <w:p w:rsidR="00D641B8" w:rsidRDefault="00D641B8" w:rsidP="00F55498">
          <w:pPr>
            <w:pStyle w:val="HeaderLiteEven"/>
          </w:pPr>
          <w:r>
            <w:fldChar w:fldCharType="begin"/>
          </w:r>
          <w:r>
            <w:instrText xml:space="preserve"> STYLEREF CharAmSchPTText \*Charformat </w:instrText>
          </w:r>
          <w:r>
            <w:fldChar w:fldCharType="end"/>
          </w:r>
        </w:p>
      </w:tc>
    </w:tr>
    <w:tr w:rsidR="00D641B8">
      <w:trPr>
        <w:cantSplit/>
      </w:trPr>
      <w:tc>
        <w:tcPr>
          <w:tcW w:w="8385" w:type="dxa"/>
          <w:gridSpan w:val="2"/>
        </w:tcPr>
        <w:p w:rsidR="00D641B8" w:rsidRDefault="00D641B8">
          <w:pPr>
            <w:pStyle w:val="HeaderBoldEven"/>
          </w:pPr>
        </w:p>
      </w:tc>
    </w:tr>
  </w:tbl>
  <w:p w:rsidR="00D641B8" w:rsidRDefault="00D641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14"/>
      <w:gridCol w:w="1471"/>
    </w:tblGrid>
    <w:tr w:rsidR="00D641B8">
      <w:trPr>
        <w:cantSplit/>
      </w:trPr>
      <w:tc>
        <w:tcPr>
          <w:tcW w:w="6914" w:type="dxa"/>
          <w:vAlign w:val="bottom"/>
        </w:tcPr>
        <w:p w:rsidR="00D641B8" w:rsidRDefault="00D641B8" w:rsidP="00F55498">
          <w:pPr>
            <w:pStyle w:val="HeaderLiteOdd"/>
          </w:pPr>
          <w:r>
            <w:fldChar w:fldCharType="begin"/>
          </w:r>
          <w:r>
            <w:instrText xml:space="preserve"> STYLEREF CharSchText \*Charformat \l </w:instrText>
          </w:r>
          <w:r>
            <w:fldChar w:fldCharType="separate"/>
          </w:r>
          <w:r w:rsidR="00736C5F">
            <w:rPr>
              <w:noProof/>
            </w:rPr>
            <w:t>Amendment</w:t>
          </w:r>
          <w:r>
            <w:fldChar w:fldCharType="end"/>
          </w:r>
        </w:p>
      </w:tc>
      <w:tc>
        <w:tcPr>
          <w:tcW w:w="1471" w:type="dxa"/>
        </w:tcPr>
        <w:p w:rsidR="00D641B8" w:rsidRDefault="00D641B8" w:rsidP="00F55498">
          <w:pPr>
            <w:pStyle w:val="HeaderLiteOdd"/>
          </w:pPr>
          <w:r>
            <w:fldChar w:fldCharType="begin"/>
          </w:r>
          <w:r>
            <w:instrText xml:space="preserve"> STYLEREF CharSchNo \*Charformat \l </w:instrText>
          </w:r>
          <w:r>
            <w:fldChar w:fldCharType="separate"/>
          </w:r>
          <w:r w:rsidR="00736C5F">
            <w:rPr>
              <w:noProof/>
            </w:rPr>
            <w:t>Schedule 1</w:t>
          </w:r>
          <w:r>
            <w:fldChar w:fldCharType="end"/>
          </w:r>
        </w:p>
      </w:tc>
    </w:tr>
    <w:tr w:rsidR="00D641B8">
      <w:trPr>
        <w:cantSplit/>
      </w:trPr>
      <w:tc>
        <w:tcPr>
          <w:tcW w:w="6914" w:type="dxa"/>
          <w:vAlign w:val="bottom"/>
        </w:tcPr>
        <w:p w:rsidR="00D641B8" w:rsidRDefault="00D641B8" w:rsidP="00F55498">
          <w:pPr>
            <w:pStyle w:val="HeaderLiteOdd"/>
          </w:pPr>
          <w:r>
            <w:fldChar w:fldCharType="begin"/>
          </w:r>
          <w:r>
            <w:instrText xml:space="preserve"> STYLEREF CharAmSchPTText \*Charformat \l </w:instrText>
          </w:r>
          <w:r>
            <w:fldChar w:fldCharType="end"/>
          </w:r>
        </w:p>
      </w:tc>
      <w:tc>
        <w:tcPr>
          <w:tcW w:w="1471" w:type="dxa"/>
        </w:tcPr>
        <w:p w:rsidR="00D641B8" w:rsidRDefault="00D641B8" w:rsidP="00F55498">
          <w:pPr>
            <w:pStyle w:val="HeaderLiteOdd"/>
          </w:pPr>
          <w:r>
            <w:fldChar w:fldCharType="begin"/>
          </w:r>
          <w:r>
            <w:instrText xml:space="preserve"> STYLEREF CharAmSchPTNo \*Charformat \l </w:instrText>
          </w:r>
          <w:r>
            <w:fldChar w:fldCharType="end"/>
          </w:r>
        </w:p>
      </w:tc>
    </w:tr>
    <w:tr w:rsidR="00D641B8">
      <w:trPr>
        <w:cantSplit/>
      </w:trPr>
      <w:tc>
        <w:tcPr>
          <w:tcW w:w="8385" w:type="dxa"/>
          <w:gridSpan w:val="2"/>
        </w:tcPr>
        <w:p w:rsidR="00D641B8" w:rsidRDefault="00D641B8">
          <w:pPr>
            <w:pStyle w:val="HeaderBoldOdd"/>
          </w:pPr>
        </w:p>
      </w:tc>
    </w:tr>
  </w:tbl>
  <w:p w:rsidR="00D641B8" w:rsidRDefault="00D641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D641B8" w:rsidRPr="00375ADF">
      <w:tc>
        <w:tcPr>
          <w:tcW w:w="8357" w:type="dxa"/>
        </w:tcPr>
        <w:p w:rsidR="00D641B8" w:rsidRPr="00375ADF" w:rsidRDefault="00D641B8">
          <w:pPr>
            <w:pStyle w:val="HeaderLiteEven"/>
          </w:pPr>
          <w:r>
            <w:t>Note</w:t>
          </w:r>
        </w:p>
      </w:tc>
    </w:tr>
    <w:tr w:rsidR="00D641B8">
      <w:tc>
        <w:tcPr>
          <w:tcW w:w="8357" w:type="dxa"/>
        </w:tcPr>
        <w:p w:rsidR="00D641B8" w:rsidRDefault="00D641B8">
          <w:pPr>
            <w:pStyle w:val="HeaderLiteEven"/>
          </w:pPr>
        </w:p>
      </w:tc>
    </w:tr>
    <w:tr w:rsidR="00D641B8">
      <w:tc>
        <w:tcPr>
          <w:tcW w:w="8357" w:type="dxa"/>
          <w:tcBorders>
            <w:bottom w:val="single" w:sz="4" w:space="0" w:color="auto"/>
          </w:tcBorders>
          <w:shd w:val="clear" w:color="auto" w:fill="auto"/>
        </w:tcPr>
        <w:p w:rsidR="00D641B8" w:rsidRPr="000D4CDA" w:rsidRDefault="00D641B8">
          <w:pPr>
            <w:pStyle w:val="HeaderBoldEven"/>
          </w:pPr>
        </w:p>
      </w:tc>
    </w:tr>
  </w:tbl>
  <w:p w:rsidR="00D641B8" w:rsidRDefault="00D641B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D641B8" w:rsidRPr="00375ADF">
      <w:tc>
        <w:tcPr>
          <w:tcW w:w="8357" w:type="dxa"/>
        </w:tcPr>
        <w:p w:rsidR="00D641B8" w:rsidRPr="00375ADF" w:rsidRDefault="00D641B8">
          <w:pPr>
            <w:pStyle w:val="HeaderLiteOdd"/>
          </w:pPr>
          <w:r>
            <w:t>Note</w:t>
          </w:r>
        </w:p>
      </w:tc>
    </w:tr>
    <w:tr w:rsidR="00D641B8">
      <w:tc>
        <w:tcPr>
          <w:tcW w:w="8357" w:type="dxa"/>
        </w:tcPr>
        <w:p w:rsidR="00D641B8" w:rsidRDefault="00D641B8">
          <w:pPr>
            <w:pStyle w:val="HeaderLiteOdd"/>
          </w:pPr>
        </w:p>
      </w:tc>
    </w:tr>
    <w:tr w:rsidR="00D641B8">
      <w:tc>
        <w:tcPr>
          <w:tcW w:w="8357" w:type="dxa"/>
          <w:tcBorders>
            <w:bottom w:val="single" w:sz="4" w:space="0" w:color="auto"/>
          </w:tcBorders>
          <w:shd w:val="clear" w:color="auto" w:fill="auto"/>
        </w:tcPr>
        <w:p w:rsidR="00D641B8" w:rsidRPr="000D4CDA" w:rsidRDefault="00D641B8">
          <w:pPr>
            <w:pStyle w:val="HeaderBoldOdd"/>
          </w:pPr>
        </w:p>
      </w:tc>
    </w:tr>
  </w:tbl>
  <w:p w:rsidR="00D641B8" w:rsidRDefault="00D641B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B8" w:rsidRDefault="00D641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D641B8">
      <w:tc>
        <w:tcPr>
          <w:tcW w:w="1494" w:type="dxa"/>
        </w:tcPr>
        <w:p w:rsidR="00D641B8" w:rsidRDefault="00D641B8" w:rsidP="00BD545A">
          <w:pPr>
            <w:pStyle w:val="HeaderLiteEven"/>
          </w:pPr>
        </w:p>
      </w:tc>
      <w:tc>
        <w:tcPr>
          <w:tcW w:w="6891" w:type="dxa"/>
        </w:tcPr>
        <w:p w:rsidR="00D641B8" w:rsidRDefault="00D641B8" w:rsidP="00BD545A">
          <w:pPr>
            <w:pStyle w:val="HeaderLiteEven"/>
          </w:pPr>
        </w:p>
      </w:tc>
    </w:tr>
    <w:tr w:rsidR="00D641B8">
      <w:tc>
        <w:tcPr>
          <w:tcW w:w="1494" w:type="dxa"/>
        </w:tcPr>
        <w:p w:rsidR="00D641B8" w:rsidRDefault="00D641B8" w:rsidP="00BD545A">
          <w:pPr>
            <w:pStyle w:val="HeaderLiteEven"/>
          </w:pPr>
        </w:p>
      </w:tc>
      <w:tc>
        <w:tcPr>
          <w:tcW w:w="6891" w:type="dxa"/>
        </w:tcPr>
        <w:p w:rsidR="00D641B8" w:rsidRDefault="00D641B8" w:rsidP="00BD545A">
          <w:pPr>
            <w:pStyle w:val="HeaderLiteEven"/>
          </w:pPr>
        </w:p>
      </w:tc>
    </w:tr>
    <w:tr w:rsidR="00D641B8">
      <w:tc>
        <w:tcPr>
          <w:tcW w:w="8385" w:type="dxa"/>
          <w:gridSpan w:val="2"/>
          <w:tcBorders>
            <w:bottom w:val="single" w:sz="4" w:space="0" w:color="auto"/>
          </w:tcBorders>
        </w:tcPr>
        <w:p w:rsidR="00D641B8" w:rsidRDefault="00D641B8" w:rsidP="00BD545A">
          <w:pPr>
            <w:pStyle w:val="HeaderBoldEven"/>
          </w:pPr>
        </w:p>
      </w:tc>
    </w:tr>
  </w:tbl>
  <w:p w:rsidR="00D641B8" w:rsidRDefault="00D641B8" w:rsidP="00BD54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D641B8">
      <w:tc>
        <w:tcPr>
          <w:tcW w:w="6914" w:type="dxa"/>
        </w:tcPr>
        <w:p w:rsidR="00D641B8" w:rsidRDefault="00D641B8" w:rsidP="00BD545A">
          <w:pPr>
            <w:pStyle w:val="HeaderLiteOdd"/>
          </w:pPr>
        </w:p>
      </w:tc>
      <w:tc>
        <w:tcPr>
          <w:tcW w:w="1471" w:type="dxa"/>
        </w:tcPr>
        <w:p w:rsidR="00D641B8" w:rsidRDefault="00D641B8" w:rsidP="00BD545A">
          <w:pPr>
            <w:pStyle w:val="HeaderLiteOdd"/>
          </w:pPr>
        </w:p>
      </w:tc>
    </w:tr>
    <w:tr w:rsidR="00D641B8">
      <w:tc>
        <w:tcPr>
          <w:tcW w:w="6914" w:type="dxa"/>
        </w:tcPr>
        <w:p w:rsidR="00D641B8" w:rsidRDefault="00D641B8" w:rsidP="00BD545A">
          <w:pPr>
            <w:pStyle w:val="HeaderLiteOdd"/>
          </w:pPr>
        </w:p>
      </w:tc>
      <w:tc>
        <w:tcPr>
          <w:tcW w:w="1471" w:type="dxa"/>
        </w:tcPr>
        <w:p w:rsidR="00D641B8" w:rsidRDefault="00D641B8" w:rsidP="00BD545A">
          <w:pPr>
            <w:pStyle w:val="HeaderLiteOdd"/>
          </w:pPr>
        </w:p>
      </w:tc>
    </w:tr>
    <w:tr w:rsidR="00D641B8">
      <w:tc>
        <w:tcPr>
          <w:tcW w:w="8385" w:type="dxa"/>
          <w:gridSpan w:val="2"/>
          <w:tcBorders>
            <w:bottom w:val="single" w:sz="4" w:space="0" w:color="auto"/>
          </w:tcBorders>
        </w:tcPr>
        <w:p w:rsidR="00D641B8" w:rsidRDefault="00D641B8" w:rsidP="00BD545A">
          <w:pPr>
            <w:pStyle w:val="HeaderBoldOdd"/>
          </w:pPr>
        </w:p>
      </w:tc>
    </w:tr>
  </w:tbl>
  <w:p w:rsidR="00D641B8" w:rsidRDefault="00D641B8" w:rsidP="00BD5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E4C1CAF"/>
    <w:multiLevelType w:val="hybridMultilevel"/>
    <w:tmpl w:val="510C9B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370DD7"/>
    <w:rsid w:val="000038A0"/>
    <w:rsid w:val="00012F8A"/>
    <w:rsid w:val="0001662A"/>
    <w:rsid w:val="00020108"/>
    <w:rsid w:val="0002254C"/>
    <w:rsid w:val="00032F2C"/>
    <w:rsid w:val="00040090"/>
    <w:rsid w:val="000403D5"/>
    <w:rsid w:val="000427E4"/>
    <w:rsid w:val="00045BA4"/>
    <w:rsid w:val="00045F1B"/>
    <w:rsid w:val="000521B7"/>
    <w:rsid w:val="0005339D"/>
    <w:rsid w:val="00057B03"/>
    <w:rsid w:val="00060076"/>
    <w:rsid w:val="000646EC"/>
    <w:rsid w:val="00065118"/>
    <w:rsid w:val="00065296"/>
    <w:rsid w:val="000715D1"/>
    <w:rsid w:val="000777BD"/>
    <w:rsid w:val="00082916"/>
    <w:rsid w:val="00083189"/>
    <w:rsid w:val="0008560A"/>
    <w:rsid w:val="00091146"/>
    <w:rsid w:val="00095849"/>
    <w:rsid w:val="000A0788"/>
    <w:rsid w:val="000A0CCA"/>
    <w:rsid w:val="000A1742"/>
    <w:rsid w:val="000A620C"/>
    <w:rsid w:val="000A7869"/>
    <w:rsid w:val="000B4121"/>
    <w:rsid w:val="000B51B3"/>
    <w:rsid w:val="000D1916"/>
    <w:rsid w:val="000E16EC"/>
    <w:rsid w:val="000E27E3"/>
    <w:rsid w:val="000E48BD"/>
    <w:rsid w:val="000E7494"/>
    <w:rsid w:val="00105BB8"/>
    <w:rsid w:val="00111D90"/>
    <w:rsid w:val="00116989"/>
    <w:rsid w:val="00121F3F"/>
    <w:rsid w:val="00125657"/>
    <w:rsid w:val="001275C1"/>
    <w:rsid w:val="00127EA8"/>
    <w:rsid w:val="001312D8"/>
    <w:rsid w:val="001328CE"/>
    <w:rsid w:val="00134162"/>
    <w:rsid w:val="00134DDC"/>
    <w:rsid w:val="00140090"/>
    <w:rsid w:val="001409F1"/>
    <w:rsid w:val="0014186A"/>
    <w:rsid w:val="00141CBA"/>
    <w:rsid w:val="00143636"/>
    <w:rsid w:val="00144DE3"/>
    <w:rsid w:val="00153195"/>
    <w:rsid w:val="00153CA0"/>
    <w:rsid w:val="00162609"/>
    <w:rsid w:val="00164935"/>
    <w:rsid w:val="00165D61"/>
    <w:rsid w:val="00175CF6"/>
    <w:rsid w:val="0017685B"/>
    <w:rsid w:val="00182977"/>
    <w:rsid w:val="00185F83"/>
    <w:rsid w:val="00186360"/>
    <w:rsid w:val="00187D63"/>
    <w:rsid w:val="00191FA5"/>
    <w:rsid w:val="00192C10"/>
    <w:rsid w:val="00193F32"/>
    <w:rsid w:val="001A4DD7"/>
    <w:rsid w:val="001A6C59"/>
    <w:rsid w:val="001B6990"/>
    <w:rsid w:val="001C22F5"/>
    <w:rsid w:val="001C25FE"/>
    <w:rsid w:val="001D6D71"/>
    <w:rsid w:val="001E092D"/>
    <w:rsid w:val="001E1749"/>
    <w:rsid w:val="001E47F8"/>
    <w:rsid w:val="001F108C"/>
    <w:rsid w:val="001F41C5"/>
    <w:rsid w:val="001F5DA4"/>
    <w:rsid w:val="002015B2"/>
    <w:rsid w:val="00203232"/>
    <w:rsid w:val="00210652"/>
    <w:rsid w:val="00214C3B"/>
    <w:rsid w:val="00222FD0"/>
    <w:rsid w:val="002252C7"/>
    <w:rsid w:val="0022734F"/>
    <w:rsid w:val="00233C57"/>
    <w:rsid w:val="0023489C"/>
    <w:rsid w:val="0023603C"/>
    <w:rsid w:val="0024222C"/>
    <w:rsid w:val="00243601"/>
    <w:rsid w:val="00244C01"/>
    <w:rsid w:val="00246042"/>
    <w:rsid w:val="00252F17"/>
    <w:rsid w:val="00253DDD"/>
    <w:rsid w:val="00260912"/>
    <w:rsid w:val="00274FEF"/>
    <w:rsid w:val="00275245"/>
    <w:rsid w:val="00281E63"/>
    <w:rsid w:val="0028609E"/>
    <w:rsid w:val="00286CEA"/>
    <w:rsid w:val="00293BC3"/>
    <w:rsid w:val="002A0984"/>
    <w:rsid w:val="002A19B0"/>
    <w:rsid w:val="002A2DEB"/>
    <w:rsid w:val="002A37DA"/>
    <w:rsid w:val="002B1EBA"/>
    <w:rsid w:val="002B265A"/>
    <w:rsid w:val="002B3196"/>
    <w:rsid w:val="002B32C5"/>
    <w:rsid w:val="002B519A"/>
    <w:rsid w:val="002B7DCF"/>
    <w:rsid w:val="002D4558"/>
    <w:rsid w:val="002D71AC"/>
    <w:rsid w:val="002D7932"/>
    <w:rsid w:val="002E5749"/>
    <w:rsid w:val="002F137A"/>
    <w:rsid w:val="002F78D5"/>
    <w:rsid w:val="00306194"/>
    <w:rsid w:val="003231FF"/>
    <w:rsid w:val="0033573E"/>
    <w:rsid w:val="00336724"/>
    <w:rsid w:val="00343B24"/>
    <w:rsid w:val="003469E3"/>
    <w:rsid w:val="0035001E"/>
    <w:rsid w:val="00353F3B"/>
    <w:rsid w:val="00355188"/>
    <w:rsid w:val="00357657"/>
    <w:rsid w:val="00363908"/>
    <w:rsid w:val="00367E3F"/>
    <w:rsid w:val="00370DD7"/>
    <w:rsid w:val="0037255F"/>
    <w:rsid w:val="0038199B"/>
    <w:rsid w:val="00387F34"/>
    <w:rsid w:val="00392557"/>
    <w:rsid w:val="00392B64"/>
    <w:rsid w:val="0039396B"/>
    <w:rsid w:val="003A10FD"/>
    <w:rsid w:val="003A160D"/>
    <w:rsid w:val="003A5AF1"/>
    <w:rsid w:val="003A77F7"/>
    <w:rsid w:val="003B0D29"/>
    <w:rsid w:val="003B4BF2"/>
    <w:rsid w:val="003B7E2B"/>
    <w:rsid w:val="003C0F16"/>
    <w:rsid w:val="003C1D25"/>
    <w:rsid w:val="003D1079"/>
    <w:rsid w:val="003D1FD3"/>
    <w:rsid w:val="003D5C77"/>
    <w:rsid w:val="003D5FC8"/>
    <w:rsid w:val="003D659C"/>
    <w:rsid w:val="003D6F03"/>
    <w:rsid w:val="003E3CC1"/>
    <w:rsid w:val="003E46F6"/>
    <w:rsid w:val="003E6D06"/>
    <w:rsid w:val="003F6833"/>
    <w:rsid w:val="004005D4"/>
    <w:rsid w:val="00403F78"/>
    <w:rsid w:val="00404F36"/>
    <w:rsid w:val="00413A68"/>
    <w:rsid w:val="00421964"/>
    <w:rsid w:val="00422522"/>
    <w:rsid w:val="004255DD"/>
    <w:rsid w:val="00433B06"/>
    <w:rsid w:val="004361A5"/>
    <w:rsid w:val="00440B24"/>
    <w:rsid w:val="00442AA3"/>
    <w:rsid w:val="00443890"/>
    <w:rsid w:val="0044430D"/>
    <w:rsid w:val="00444F77"/>
    <w:rsid w:val="004459DE"/>
    <w:rsid w:val="00450DE1"/>
    <w:rsid w:val="00451D87"/>
    <w:rsid w:val="004533FC"/>
    <w:rsid w:val="00457D32"/>
    <w:rsid w:val="00464092"/>
    <w:rsid w:val="004640EA"/>
    <w:rsid w:val="00466DBA"/>
    <w:rsid w:val="004672CA"/>
    <w:rsid w:val="00475DB4"/>
    <w:rsid w:val="004879CB"/>
    <w:rsid w:val="0049172E"/>
    <w:rsid w:val="004A20E2"/>
    <w:rsid w:val="004A7713"/>
    <w:rsid w:val="004A7AA7"/>
    <w:rsid w:val="004B1AC1"/>
    <w:rsid w:val="004B2E2C"/>
    <w:rsid w:val="004B6C4F"/>
    <w:rsid w:val="004D32C2"/>
    <w:rsid w:val="004D5EAB"/>
    <w:rsid w:val="004D6045"/>
    <w:rsid w:val="004E0619"/>
    <w:rsid w:val="004E1C75"/>
    <w:rsid w:val="004E249A"/>
    <w:rsid w:val="004E2FEB"/>
    <w:rsid w:val="004E7590"/>
    <w:rsid w:val="004F5D6D"/>
    <w:rsid w:val="005015FF"/>
    <w:rsid w:val="00501E0C"/>
    <w:rsid w:val="005056C8"/>
    <w:rsid w:val="0051137B"/>
    <w:rsid w:val="00511776"/>
    <w:rsid w:val="00511924"/>
    <w:rsid w:val="00512237"/>
    <w:rsid w:val="00512974"/>
    <w:rsid w:val="0051511D"/>
    <w:rsid w:val="0052220C"/>
    <w:rsid w:val="005234C7"/>
    <w:rsid w:val="005238E0"/>
    <w:rsid w:val="005277E8"/>
    <w:rsid w:val="0054351E"/>
    <w:rsid w:val="005516CA"/>
    <w:rsid w:val="005672DE"/>
    <w:rsid w:val="005749F6"/>
    <w:rsid w:val="00576569"/>
    <w:rsid w:val="00580301"/>
    <w:rsid w:val="005859FB"/>
    <w:rsid w:val="005924C4"/>
    <w:rsid w:val="005943B6"/>
    <w:rsid w:val="005A4031"/>
    <w:rsid w:val="005B2968"/>
    <w:rsid w:val="005B5BAF"/>
    <w:rsid w:val="005B70C5"/>
    <w:rsid w:val="005B7B02"/>
    <w:rsid w:val="005C1E0F"/>
    <w:rsid w:val="005C28EA"/>
    <w:rsid w:val="005C4A85"/>
    <w:rsid w:val="005D0D39"/>
    <w:rsid w:val="005D2F97"/>
    <w:rsid w:val="005D692B"/>
    <w:rsid w:val="005D7026"/>
    <w:rsid w:val="005E43E5"/>
    <w:rsid w:val="005E563D"/>
    <w:rsid w:val="005F0DDB"/>
    <w:rsid w:val="005F47D8"/>
    <w:rsid w:val="005F52A1"/>
    <w:rsid w:val="00602748"/>
    <w:rsid w:val="006047C5"/>
    <w:rsid w:val="00606A34"/>
    <w:rsid w:val="00621915"/>
    <w:rsid w:val="00624074"/>
    <w:rsid w:val="0062769F"/>
    <w:rsid w:val="0063011A"/>
    <w:rsid w:val="00641664"/>
    <w:rsid w:val="00644EDC"/>
    <w:rsid w:val="0065001E"/>
    <w:rsid w:val="006533B7"/>
    <w:rsid w:val="006567E4"/>
    <w:rsid w:val="00662EF9"/>
    <w:rsid w:val="00674B00"/>
    <w:rsid w:val="00690575"/>
    <w:rsid w:val="006B27F8"/>
    <w:rsid w:val="006C2616"/>
    <w:rsid w:val="006C2AB2"/>
    <w:rsid w:val="006C5742"/>
    <w:rsid w:val="006D018E"/>
    <w:rsid w:val="006D3078"/>
    <w:rsid w:val="006D4034"/>
    <w:rsid w:val="006E2530"/>
    <w:rsid w:val="006E548F"/>
    <w:rsid w:val="006E7E7A"/>
    <w:rsid w:val="006F0BD8"/>
    <w:rsid w:val="006F73F0"/>
    <w:rsid w:val="00702998"/>
    <w:rsid w:val="0071055A"/>
    <w:rsid w:val="0071414A"/>
    <w:rsid w:val="0071514F"/>
    <w:rsid w:val="00716F1E"/>
    <w:rsid w:val="00720FF9"/>
    <w:rsid w:val="00727685"/>
    <w:rsid w:val="00730AF8"/>
    <w:rsid w:val="00735D7F"/>
    <w:rsid w:val="00736C5F"/>
    <w:rsid w:val="007375F7"/>
    <w:rsid w:val="00740322"/>
    <w:rsid w:val="00740916"/>
    <w:rsid w:val="007431FF"/>
    <w:rsid w:val="0075685A"/>
    <w:rsid w:val="00756F9E"/>
    <w:rsid w:val="00772ADE"/>
    <w:rsid w:val="00773924"/>
    <w:rsid w:val="00782D20"/>
    <w:rsid w:val="0078300B"/>
    <w:rsid w:val="007833A9"/>
    <w:rsid w:val="007851E9"/>
    <w:rsid w:val="007910D2"/>
    <w:rsid w:val="00791CD4"/>
    <w:rsid w:val="00794754"/>
    <w:rsid w:val="007A3064"/>
    <w:rsid w:val="007C7959"/>
    <w:rsid w:val="007D1A1E"/>
    <w:rsid w:val="007E231D"/>
    <w:rsid w:val="007E2664"/>
    <w:rsid w:val="007E3AA5"/>
    <w:rsid w:val="007F75DF"/>
    <w:rsid w:val="008002E8"/>
    <w:rsid w:val="008006D5"/>
    <w:rsid w:val="008011DE"/>
    <w:rsid w:val="008149B7"/>
    <w:rsid w:val="00825250"/>
    <w:rsid w:val="008322B6"/>
    <w:rsid w:val="008349F1"/>
    <w:rsid w:val="00836024"/>
    <w:rsid w:val="00836392"/>
    <w:rsid w:val="008416EA"/>
    <w:rsid w:val="00844132"/>
    <w:rsid w:val="00847850"/>
    <w:rsid w:val="008546A9"/>
    <w:rsid w:val="00854857"/>
    <w:rsid w:val="00856EB5"/>
    <w:rsid w:val="00863597"/>
    <w:rsid w:val="0086648B"/>
    <w:rsid w:val="008673F2"/>
    <w:rsid w:val="00867E7D"/>
    <w:rsid w:val="008731F9"/>
    <w:rsid w:val="00873699"/>
    <w:rsid w:val="00873E3C"/>
    <w:rsid w:val="008750E2"/>
    <w:rsid w:val="00876486"/>
    <w:rsid w:val="00886003"/>
    <w:rsid w:val="008866E8"/>
    <w:rsid w:val="0088671C"/>
    <w:rsid w:val="00886C7C"/>
    <w:rsid w:val="008933E0"/>
    <w:rsid w:val="008A4808"/>
    <w:rsid w:val="008A6DFE"/>
    <w:rsid w:val="008B0390"/>
    <w:rsid w:val="008B0EFE"/>
    <w:rsid w:val="008B183C"/>
    <w:rsid w:val="008B1E93"/>
    <w:rsid w:val="008B4BFF"/>
    <w:rsid w:val="008B5981"/>
    <w:rsid w:val="008B6C52"/>
    <w:rsid w:val="008C3068"/>
    <w:rsid w:val="008C43C2"/>
    <w:rsid w:val="008C48D9"/>
    <w:rsid w:val="008D5B3D"/>
    <w:rsid w:val="008E2235"/>
    <w:rsid w:val="008E3423"/>
    <w:rsid w:val="008E63C4"/>
    <w:rsid w:val="008F16BC"/>
    <w:rsid w:val="008F1DAB"/>
    <w:rsid w:val="008F3C01"/>
    <w:rsid w:val="008F6DDC"/>
    <w:rsid w:val="009007F1"/>
    <w:rsid w:val="009078CC"/>
    <w:rsid w:val="00911F7B"/>
    <w:rsid w:val="00913281"/>
    <w:rsid w:val="00913EA5"/>
    <w:rsid w:val="009146C1"/>
    <w:rsid w:val="00915D96"/>
    <w:rsid w:val="00927849"/>
    <w:rsid w:val="00930919"/>
    <w:rsid w:val="00943677"/>
    <w:rsid w:val="00943CEA"/>
    <w:rsid w:val="00945A5E"/>
    <w:rsid w:val="009612A7"/>
    <w:rsid w:val="00963ADB"/>
    <w:rsid w:val="00967444"/>
    <w:rsid w:val="009756C6"/>
    <w:rsid w:val="00976374"/>
    <w:rsid w:val="00983A1F"/>
    <w:rsid w:val="00987485"/>
    <w:rsid w:val="0099167B"/>
    <w:rsid w:val="00994D20"/>
    <w:rsid w:val="009A0CC8"/>
    <w:rsid w:val="009A207B"/>
    <w:rsid w:val="009A5A0D"/>
    <w:rsid w:val="009A679E"/>
    <w:rsid w:val="009A6D1B"/>
    <w:rsid w:val="009B303B"/>
    <w:rsid w:val="009B3BDA"/>
    <w:rsid w:val="009B76D8"/>
    <w:rsid w:val="009B785F"/>
    <w:rsid w:val="009C0398"/>
    <w:rsid w:val="009D6B2A"/>
    <w:rsid w:val="009D7BDF"/>
    <w:rsid w:val="009E1C06"/>
    <w:rsid w:val="009E28DB"/>
    <w:rsid w:val="009E2D2F"/>
    <w:rsid w:val="009F3F7B"/>
    <w:rsid w:val="009F5EDF"/>
    <w:rsid w:val="00A00C88"/>
    <w:rsid w:val="00A046F7"/>
    <w:rsid w:val="00A103A5"/>
    <w:rsid w:val="00A13F63"/>
    <w:rsid w:val="00A21D2D"/>
    <w:rsid w:val="00A223AA"/>
    <w:rsid w:val="00A24F06"/>
    <w:rsid w:val="00A266F5"/>
    <w:rsid w:val="00A30ABA"/>
    <w:rsid w:val="00A314B9"/>
    <w:rsid w:val="00A41885"/>
    <w:rsid w:val="00A41B45"/>
    <w:rsid w:val="00A52515"/>
    <w:rsid w:val="00A5272D"/>
    <w:rsid w:val="00A54B37"/>
    <w:rsid w:val="00A609DD"/>
    <w:rsid w:val="00A60B57"/>
    <w:rsid w:val="00A61815"/>
    <w:rsid w:val="00A644DE"/>
    <w:rsid w:val="00A66DA9"/>
    <w:rsid w:val="00A6740F"/>
    <w:rsid w:val="00A851E0"/>
    <w:rsid w:val="00A95A88"/>
    <w:rsid w:val="00AA1B63"/>
    <w:rsid w:val="00AA3188"/>
    <w:rsid w:val="00AA420D"/>
    <w:rsid w:val="00AB2C8C"/>
    <w:rsid w:val="00AB444A"/>
    <w:rsid w:val="00AC405E"/>
    <w:rsid w:val="00AE732F"/>
    <w:rsid w:val="00AF074C"/>
    <w:rsid w:val="00AF07E2"/>
    <w:rsid w:val="00AF716F"/>
    <w:rsid w:val="00B03AF0"/>
    <w:rsid w:val="00B04B2D"/>
    <w:rsid w:val="00B05373"/>
    <w:rsid w:val="00B067E6"/>
    <w:rsid w:val="00B10A03"/>
    <w:rsid w:val="00B11A88"/>
    <w:rsid w:val="00B12260"/>
    <w:rsid w:val="00B13F00"/>
    <w:rsid w:val="00B156E1"/>
    <w:rsid w:val="00B25433"/>
    <w:rsid w:val="00B2626C"/>
    <w:rsid w:val="00B268AE"/>
    <w:rsid w:val="00B3728B"/>
    <w:rsid w:val="00B408B6"/>
    <w:rsid w:val="00B531ED"/>
    <w:rsid w:val="00B53574"/>
    <w:rsid w:val="00B536F6"/>
    <w:rsid w:val="00B60027"/>
    <w:rsid w:val="00B63AE9"/>
    <w:rsid w:val="00B670FF"/>
    <w:rsid w:val="00B71B16"/>
    <w:rsid w:val="00B76BE0"/>
    <w:rsid w:val="00B80913"/>
    <w:rsid w:val="00B902AE"/>
    <w:rsid w:val="00B91A8D"/>
    <w:rsid w:val="00BA34AD"/>
    <w:rsid w:val="00BA4B2A"/>
    <w:rsid w:val="00BB26A6"/>
    <w:rsid w:val="00BB69FF"/>
    <w:rsid w:val="00BD545A"/>
    <w:rsid w:val="00BF1C2D"/>
    <w:rsid w:val="00BF2735"/>
    <w:rsid w:val="00BF738E"/>
    <w:rsid w:val="00C0402F"/>
    <w:rsid w:val="00C14CE5"/>
    <w:rsid w:val="00C24D41"/>
    <w:rsid w:val="00C329A2"/>
    <w:rsid w:val="00C35EC8"/>
    <w:rsid w:val="00C4065A"/>
    <w:rsid w:val="00C412B4"/>
    <w:rsid w:val="00C42FF3"/>
    <w:rsid w:val="00C447FD"/>
    <w:rsid w:val="00C44BA2"/>
    <w:rsid w:val="00C464FB"/>
    <w:rsid w:val="00C479EC"/>
    <w:rsid w:val="00C5024F"/>
    <w:rsid w:val="00C51630"/>
    <w:rsid w:val="00C52F4B"/>
    <w:rsid w:val="00C53754"/>
    <w:rsid w:val="00C6035E"/>
    <w:rsid w:val="00C639B5"/>
    <w:rsid w:val="00C651A6"/>
    <w:rsid w:val="00C72C99"/>
    <w:rsid w:val="00C822F8"/>
    <w:rsid w:val="00C8251B"/>
    <w:rsid w:val="00C83482"/>
    <w:rsid w:val="00C83A6F"/>
    <w:rsid w:val="00C92D6F"/>
    <w:rsid w:val="00C93DEA"/>
    <w:rsid w:val="00C97351"/>
    <w:rsid w:val="00C97D8E"/>
    <w:rsid w:val="00CA2A23"/>
    <w:rsid w:val="00CA752C"/>
    <w:rsid w:val="00CB009F"/>
    <w:rsid w:val="00CB221F"/>
    <w:rsid w:val="00CC3524"/>
    <w:rsid w:val="00CD3C04"/>
    <w:rsid w:val="00CD3C3C"/>
    <w:rsid w:val="00CD5A35"/>
    <w:rsid w:val="00CE662A"/>
    <w:rsid w:val="00CF73A6"/>
    <w:rsid w:val="00D05575"/>
    <w:rsid w:val="00D118BD"/>
    <w:rsid w:val="00D13C76"/>
    <w:rsid w:val="00D13F9C"/>
    <w:rsid w:val="00D15738"/>
    <w:rsid w:val="00D1601E"/>
    <w:rsid w:val="00D2157E"/>
    <w:rsid w:val="00D21740"/>
    <w:rsid w:val="00D22AE7"/>
    <w:rsid w:val="00D2550B"/>
    <w:rsid w:val="00D271FF"/>
    <w:rsid w:val="00D3367E"/>
    <w:rsid w:val="00D33956"/>
    <w:rsid w:val="00D34F1B"/>
    <w:rsid w:val="00D41229"/>
    <w:rsid w:val="00D4367A"/>
    <w:rsid w:val="00D57D13"/>
    <w:rsid w:val="00D6243F"/>
    <w:rsid w:val="00D6403A"/>
    <w:rsid w:val="00D641B8"/>
    <w:rsid w:val="00D774C6"/>
    <w:rsid w:val="00D80163"/>
    <w:rsid w:val="00D84CCB"/>
    <w:rsid w:val="00D84E18"/>
    <w:rsid w:val="00D86FAC"/>
    <w:rsid w:val="00D91DD7"/>
    <w:rsid w:val="00D95125"/>
    <w:rsid w:val="00DB2470"/>
    <w:rsid w:val="00DC7FB4"/>
    <w:rsid w:val="00DE5043"/>
    <w:rsid w:val="00DF44BE"/>
    <w:rsid w:val="00DF520A"/>
    <w:rsid w:val="00DF64FD"/>
    <w:rsid w:val="00DF7034"/>
    <w:rsid w:val="00E03FE9"/>
    <w:rsid w:val="00E05AF6"/>
    <w:rsid w:val="00E10958"/>
    <w:rsid w:val="00E127AC"/>
    <w:rsid w:val="00E14318"/>
    <w:rsid w:val="00E24EF9"/>
    <w:rsid w:val="00E24FB9"/>
    <w:rsid w:val="00E26CD1"/>
    <w:rsid w:val="00E26F82"/>
    <w:rsid w:val="00E35189"/>
    <w:rsid w:val="00E4112B"/>
    <w:rsid w:val="00E44149"/>
    <w:rsid w:val="00E44D80"/>
    <w:rsid w:val="00E44ECA"/>
    <w:rsid w:val="00E459C3"/>
    <w:rsid w:val="00E53A61"/>
    <w:rsid w:val="00E57384"/>
    <w:rsid w:val="00E5755C"/>
    <w:rsid w:val="00E6578A"/>
    <w:rsid w:val="00E678BB"/>
    <w:rsid w:val="00E7293B"/>
    <w:rsid w:val="00E74109"/>
    <w:rsid w:val="00E750F1"/>
    <w:rsid w:val="00E814E3"/>
    <w:rsid w:val="00E83542"/>
    <w:rsid w:val="00E8435C"/>
    <w:rsid w:val="00EA0DE3"/>
    <w:rsid w:val="00EA0E4D"/>
    <w:rsid w:val="00EB1E0E"/>
    <w:rsid w:val="00EB77D8"/>
    <w:rsid w:val="00EB7CEA"/>
    <w:rsid w:val="00EC100A"/>
    <w:rsid w:val="00ED1C66"/>
    <w:rsid w:val="00ED5F59"/>
    <w:rsid w:val="00EE4BF8"/>
    <w:rsid w:val="00EE739D"/>
    <w:rsid w:val="00EF15F7"/>
    <w:rsid w:val="00EF1EE8"/>
    <w:rsid w:val="00EF63BE"/>
    <w:rsid w:val="00EF69B2"/>
    <w:rsid w:val="00F02711"/>
    <w:rsid w:val="00F02993"/>
    <w:rsid w:val="00F10F95"/>
    <w:rsid w:val="00F11A57"/>
    <w:rsid w:val="00F172D2"/>
    <w:rsid w:val="00F242C4"/>
    <w:rsid w:val="00F336D9"/>
    <w:rsid w:val="00F37E63"/>
    <w:rsid w:val="00F41F12"/>
    <w:rsid w:val="00F45681"/>
    <w:rsid w:val="00F511C0"/>
    <w:rsid w:val="00F55498"/>
    <w:rsid w:val="00F60926"/>
    <w:rsid w:val="00F719EC"/>
    <w:rsid w:val="00F74571"/>
    <w:rsid w:val="00F74E11"/>
    <w:rsid w:val="00F7591B"/>
    <w:rsid w:val="00F76ECD"/>
    <w:rsid w:val="00F84DF5"/>
    <w:rsid w:val="00F86BD5"/>
    <w:rsid w:val="00F92D2D"/>
    <w:rsid w:val="00F9606B"/>
    <w:rsid w:val="00F96711"/>
    <w:rsid w:val="00FA1B91"/>
    <w:rsid w:val="00FB1906"/>
    <w:rsid w:val="00FD119D"/>
    <w:rsid w:val="00FD6632"/>
    <w:rsid w:val="00FE262A"/>
    <w:rsid w:val="00FE36CF"/>
    <w:rsid w:val="00FE3A0D"/>
    <w:rsid w:val="00FE6331"/>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rsid w:val="00422522"/>
  </w:style>
  <w:style w:type="table" w:default="1" w:styleId="TableNormal">
    <w:name w:val="Normal Table"/>
    <w:rsid w:val="00343B24"/>
    <w:tblPr>
      <w:tblInd w:w="0" w:type="dxa"/>
      <w:tblCellMar>
        <w:top w:w="0" w:type="dxa"/>
        <w:left w:w="108" w:type="dxa"/>
        <w:bottom w:w="0" w:type="dxa"/>
        <w:right w:w="108" w:type="dxa"/>
      </w:tblCellMar>
    </w:tblPr>
  </w:style>
  <w:style w:type="numbering" w:default="1" w:styleId="NoList">
    <w:name w:val="No List"/>
    <w:rsid w:val="00343B24"/>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BODY">
    <w:name w:val="BODY"/>
    <w:basedOn w:val="Normal"/>
    <w:rsid w:val="00773924"/>
    <w:pPr>
      <w:suppressAutoHyphens/>
      <w:autoSpaceDE w:val="0"/>
      <w:autoSpaceDN w:val="0"/>
      <w:adjustRightInd w:val="0"/>
      <w:spacing w:after="170" w:line="300" w:lineRule="atLeast"/>
      <w:textAlignment w:val="center"/>
    </w:pPr>
    <w:rPr>
      <w:rFonts w:ascii="DIN-Regular" w:hAnsi="DIN-Regular" w:cs="DIN-Regular"/>
      <w:color w:val="40443F"/>
      <w:sz w:val="18"/>
      <w:szCs w:val="18"/>
      <w:lang w:val="en-GB"/>
    </w:rPr>
  </w:style>
  <w:style w:type="paragraph" w:customStyle="1" w:styleId="BULLETS">
    <w:name w:val="BULLETS"/>
    <w:basedOn w:val="BODY"/>
    <w:rsid w:val="00773924"/>
    <w:pPr>
      <w:spacing w:after="85"/>
      <w:ind w:left="397" w:hanging="397"/>
    </w:pPr>
  </w:style>
  <w:style w:type="paragraph" w:customStyle="1" w:styleId="HEADING20">
    <w:name w:val="HEADING 2"/>
    <w:basedOn w:val="Heading1"/>
    <w:rsid w:val="00773924"/>
    <w:pPr>
      <w:keepNext w:val="0"/>
      <w:suppressAutoHyphens/>
      <w:autoSpaceDE w:val="0"/>
      <w:autoSpaceDN w:val="0"/>
      <w:adjustRightInd w:val="0"/>
      <w:spacing w:before="227" w:after="57" w:line="360" w:lineRule="atLeast"/>
      <w:ind w:left="567" w:hanging="567"/>
      <w:textAlignment w:val="center"/>
      <w:outlineLvl w:val="9"/>
    </w:pPr>
    <w:rPr>
      <w:rFonts w:ascii="DIN-Bold" w:hAnsi="DIN-Bold" w:cs="DIN-Bold"/>
      <w:caps/>
      <w:color w:val="658C7D"/>
      <w:kern w:val="0"/>
      <w:sz w:val="26"/>
      <w:szCs w:val="26"/>
      <w:lang w:val="en-GB"/>
    </w:rPr>
  </w:style>
  <w:style w:type="paragraph" w:customStyle="1" w:styleId="HEADING30">
    <w:name w:val="HEADING 3"/>
    <w:basedOn w:val="HEADING20"/>
    <w:rsid w:val="00773924"/>
    <w:rPr>
      <w:caps w:val="0"/>
    </w:rPr>
  </w:style>
  <w:style w:type="paragraph" w:customStyle="1" w:styleId="Head4">
    <w:name w:val="Head4"/>
    <w:basedOn w:val="HEADING20"/>
    <w:rsid w:val="00773924"/>
    <w:pPr>
      <w:spacing w:before="113"/>
      <w:ind w:left="283" w:hanging="283"/>
    </w:pPr>
    <w:rPr>
      <w:sz w:val="22"/>
      <w:szCs w:val="22"/>
    </w:rPr>
  </w:style>
  <w:style w:type="paragraph" w:customStyle="1" w:styleId="Head5">
    <w:name w:val="Head5"/>
    <w:basedOn w:val="BODY"/>
    <w:rsid w:val="00773924"/>
    <w:pPr>
      <w:keepNext/>
      <w:keepLines/>
      <w:spacing w:before="113" w:after="57"/>
      <w:ind w:left="567" w:hanging="567"/>
    </w:pPr>
    <w:rPr>
      <w:rFonts w:ascii="DIN-Medium" w:hAnsi="DIN-Medium" w:cs="DIN-Mediu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rsid w:val="00422522"/>
  </w:style>
  <w:style w:type="table" w:default="1" w:styleId="TableNormal">
    <w:name w:val="Normal Table"/>
    <w:rsid w:val="00343B24"/>
    <w:tblPr>
      <w:tblInd w:w="0" w:type="dxa"/>
      <w:tblCellMar>
        <w:top w:w="0" w:type="dxa"/>
        <w:left w:w="108" w:type="dxa"/>
        <w:bottom w:w="0" w:type="dxa"/>
        <w:right w:w="108" w:type="dxa"/>
      </w:tblCellMar>
    </w:tblPr>
  </w:style>
  <w:style w:type="numbering" w:default="1" w:styleId="NoList">
    <w:name w:val="No List"/>
    <w:rsid w:val="00343B24"/>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BODY">
    <w:name w:val="BODY"/>
    <w:basedOn w:val="Normal"/>
    <w:rsid w:val="00773924"/>
    <w:pPr>
      <w:suppressAutoHyphens/>
      <w:autoSpaceDE w:val="0"/>
      <w:autoSpaceDN w:val="0"/>
      <w:adjustRightInd w:val="0"/>
      <w:spacing w:after="170" w:line="300" w:lineRule="atLeast"/>
      <w:textAlignment w:val="center"/>
    </w:pPr>
    <w:rPr>
      <w:rFonts w:ascii="DIN-Regular" w:hAnsi="DIN-Regular" w:cs="DIN-Regular"/>
      <w:color w:val="40443F"/>
      <w:sz w:val="18"/>
      <w:szCs w:val="18"/>
      <w:lang w:val="en-GB"/>
    </w:rPr>
  </w:style>
  <w:style w:type="paragraph" w:customStyle="1" w:styleId="BULLETS">
    <w:name w:val="BULLETS"/>
    <w:basedOn w:val="BODY"/>
    <w:rsid w:val="00773924"/>
    <w:pPr>
      <w:spacing w:after="85"/>
      <w:ind w:left="397" w:hanging="397"/>
    </w:pPr>
  </w:style>
  <w:style w:type="paragraph" w:customStyle="1" w:styleId="HEADING20">
    <w:name w:val="HEADING 2"/>
    <w:basedOn w:val="Heading1"/>
    <w:rsid w:val="00773924"/>
    <w:pPr>
      <w:keepNext w:val="0"/>
      <w:suppressAutoHyphens/>
      <w:autoSpaceDE w:val="0"/>
      <w:autoSpaceDN w:val="0"/>
      <w:adjustRightInd w:val="0"/>
      <w:spacing w:before="227" w:after="57" w:line="360" w:lineRule="atLeast"/>
      <w:ind w:left="567" w:hanging="567"/>
      <w:textAlignment w:val="center"/>
      <w:outlineLvl w:val="9"/>
    </w:pPr>
    <w:rPr>
      <w:rFonts w:ascii="DIN-Bold" w:hAnsi="DIN-Bold" w:cs="DIN-Bold"/>
      <w:caps/>
      <w:color w:val="658C7D"/>
      <w:kern w:val="0"/>
      <w:sz w:val="26"/>
      <w:szCs w:val="26"/>
      <w:lang w:val="en-GB"/>
    </w:rPr>
  </w:style>
  <w:style w:type="paragraph" w:customStyle="1" w:styleId="HEADING30">
    <w:name w:val="HEADING 3"/>
    <w:basedOn w:val="HEADING20"/>
    <w:rsid w:val="00773924"/>
    <w:rPr>
      <w:caps w:val="0"/>
    </w:rPr>
  </w:style>
  <w:style w:type="paragraph" w:customStyle="1" w:styleId="Head4">
    <w:name w:val="Head4"/>
    <w:basedOn w:val="HEADING20"/>
    <w:rsid w:val="00773924"/>
    <w:pPr>
      <w:spacing w:before="113"/>
      <w:ind w:left="283" w:hanging="283"/>
    </w:pPr>
    <w:rPr>
      <w:sz w:val="22"/>
      <w:szCs w:val="22"/>
    </w:rPr>
  </w:style>
  <w:style w:type="paragraph" w:customStyle="1" w:styleId="Head5">
    <w:name w:val="Head5"/>
    <w:basedOn w:val="BODY"/>
    <w:rsid w:val="00773924"/>
    <w:pPr>
      <w:keepNext/>
      <w:keepLines/>
      <w:spacing w:before="113" w:after="57"/>
      <w:ind w:left="567" w:hanging="567"/>
    </w:pPr>
    <w:rPr>
      <w:rFonts w:ascii="DIN-Medium" w:hAnsi="DIN-Medium" w:cs="DIN-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DB4EFAF9.dotm</Template>
  <TotalTime>0</TotalTime>
  <Pages>8</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Legal Services Amendment Direection 2008 (No.   )</vt:lpstr>
    </vt:vector>
  </TitlesOfParts>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Services Amendment Direection 2008 (No.   )</dc:title>
  <dc:creator/>
  <cp:lastModifiedBy/>
  <cp:revision>1</cp:revision>
  <cp:lastPrinted>2009-10-29T05:26:00Z</cp:lastPrinted>
  <dcterms:created xsi:type="dcterms:W3CDTF">2013-09-30T22:51:00Z</dcterms:created>
  <dcterms:modified xsi:type="dcterms:W3CDTF">2013-09-30T22:51:00Z</dcterms:modified>
</cp:coreProperties>
</file>