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3AA83" w14:textId="77777777" w:rsidR="003A1CC9" w:rsidRPr="00FD5699" w:rsidRDefault="000402A2" w:rsidP="003A1CC9">
      <w:pPr>
        <w:rPr>
          <w:highlight w:val="yellow"/>
          <w:lang w:val="en-AU"/>
        </w:rPr>
      </w:pPr>
      <w:bookmarkStart w:id="0" w:name="_GoBack"/>
      <w:bookmarkEnd w:id="0"/>
      <w:r>
        <w:rPr>
          <w:noProof/>
          <w:highlight w:val="yellow"/>
          <w:lang w:val="en-AU" w:eastAsia="en-AU"/>
        </w:rPr>
        <w:drawing>
          <wp:anchor distT="0" distB="0" distL="114300" distR="114300" simplePos="0" relativeHeight="251657728" behindDoc="0" locked="0" layoutInCell="1" allowOverlap="1" wp14:anchorId="7A4C283F" wp14:editId="56B0F531">
            <wp:simplePos x="0" y="0"/>
            <wp:positionH relativeFrom="page">
              <wp:posOffset>1141095</wp:posOffset>
            </wp:positionH>
            <wp:positionV relativeFrom="page">
              <wp:posOffset>1257300</wp:posOffset>
            </wp:positionV>
            <wp:extent cx="2733675" cy="657225"/>
            <wp:effectExtent l="0" t="0" r="0" b="0"/>
            <wp:wrapNone/>
            <wp:docPr id="3" name="Picture 2" descr="new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pic:spPr>
                </pic:pic>
              </a:graphicData>
            </a:graphic>
            <wp14:sizeRelH relativeFrom="page">
              <wp14:pctWidth>0</wp14:pctWidth>
            </wp14:sizeRelH>
            <wp14:sizeRelV relativeFrom="page">
              <wp14:pctHeight>0</wp14:pctHeight>
            </wp14:sizeRelV>
          </wp:anchor>
        </w:drawing>
      </w:r>
    </w:p>
    <w:p w14:paraId="5541540E" w14:textId="77777777" w:rsidR="003A1CC9" w:rsidRPr="00FD5699" w:rsidRDefault="003A1CC9" w:rsidP="003A1CC9">
      <w:pPr>
        <w:rPr>
          <w:highlight w:val="yellow"/>
          <w:lang w:val="en-AU"/>
        </w:rPr>
      </w:pPr>
    </w:p>
    <w:p w14:paraId="46428FA7" w14:textId="77777777" w:rsidR="003A1CC9" w:rsidRPr="00FD5699" w:rsidRDefault="003A1CC9" w:rsidP="003A1CC9">
      <w:pPr>
        <w:rPr>
          <w:highlight w:val="yellow"/>
          <w:lang w:val="en-AU"/>
        </w:rPr>
      </w:pPr>
    </w:p>
    <w:p w14:paraId="028DC919" w14:textId="77777777" w:rsidR="003A1CC9" w:rsidRPr="00FD5699" w:rsidRDefault="003A1CC9" w:rsidP="003A1CC9">
      <w:pPr>
        <w:rPr>
          <w:highlight w:val="yellow"/>
          <w:lang w:val="en-AU"/>
        </w:rPr>
      </w:pPr>
    </w:p>
    <w:p w14:paraId="146865E1" w14:textId="77777777" w:rsidR="003A1CC9" w:rsidRPr="00FD5699" w:rsidRDefault="003A1CC9" w:rsidP="003A1CC9">
      <w:pPr>
        <w:rPr>
          <w:highlight w:val="yellow"/>
          <w:lang w:val="en-AU"/>
        </w:rPr>
      </w:pPr>
    </w:p>
    <w:p w14:paraId="04191926" w14:textId="77777777" w:rsidR="003A1CC9" w:rsidRPr="00FD5699" w:rsidRDefault="003A1CC9" w:rsidP="003A1CC9">
      <w:pPr>
        <w:rPr>
          <w:highlight w:val="yellow"/>
          <w:lang w:val="en-AU"/>
        </w:rPr>
      </w:pPr>
    </w:p>
    <w:p w14:paraId="51E677F5" w14:textId="77777777" w:rsidR="003A1CC9" w:rsidRPr="00FD5699" w:rsidRDefault="003A1CC9" w:rsidP="003A1CC9">
      <w:pPr>
        <w:rPr>
          <w:b/>
          <w:highlight w:val="yellow"/>
          <w:lang w:val="en-AU"/>
        </w:rPr>
      </w:pPr>
    </w:p>
    <w:p w14:paraId="1194D1D7" w14:textId="77777777" w:rsidR="003A1CC9" w:rsidRPr="00FD5699" w:rsidRDefault="003A1CC9" w:rsidP="003A1CC9">
      <w:pPr>
        <w:rPr>
          <w:b/>
          <w:highlight w:val="yellow"/>
          <w:lang w:val="en-AU"/>
        </w:rPr>
      </w:pPr>
    </w:p>
    <w:p w14:paraId="1542E4CC" w14:textId="77777777" w:rsidR="003A1CC9" w:rsidRPr="00FD5699" w:rsidRDefault="003A1CC9" w:rsidP="003A1CC9">
      <w:pPr>
        <w:rPr>
          <w:b/>
          <w:sz w:val="36"/>
          <w:szCs w:val="36"/>
          <w:lang w:val="en-AU"/>
        </w:rPr>
      </w:pPr>
      <w:r w:rsidRPr="00FD5699">
        <w:rPr>
          <w:b/>
          <w:sz w:val="36"/>
          <w:szCs w:val="36"/>
          <w:lang w:val="en-AU"/>
        </w:rPr>
        <w:t>CONSULTATION</w:t>
      </w:r>
      <w:r w:rsidR="00886BA5" w:rsidRPr="00FD5699">
        <w:rPr>
          <w:b/>
          <w:sz w:val="36"/>
          <w:szCs w:val="36"/>
          <w:lang w:val="en-AU"/>
        </w:rPr>
        <w:t xml:space="preserve"> REPORT</w:t>
      </w:r>
    </w:p>
    <w:p w14:paraId="425028B9" w14:textId="77777777" w:rsidR="003A1CC9" w:rsidRPr="00FD5699" w:rsidRDefault="003A1CC9" w:rsidP="003A1CC9">
      <w:pPr>
        <w:rPr>
          <w:b/>
          <w:sz w:val="36"/>
          <w:szCs w:val="36"/>
          <w:highlight w:val="yellow"/>
          <w:lang w:val="en-AU"/>
        </w:rPr>
      </w:pPr>
    </w:p>
    <w:p w14:paraId="1837070B" w14:textId="77777777" w:rsidR="003A1CC9" w:rsidRPr="00FD5699" w:rsidRDefault="003A1CC9" w:rsidP="003A1CC9">
      <w:pPr>
        <w:rPr>
          <w:b/>
          <w:sz w:val="36"/>
          <w:szCs w:val="36"/>
          <w:highlight w:val="yellow"/>
          <w:lang w:val="en-AU"/>
        </w:rPr>
      </w:pPr>
    </w:p>
    <w:p w14:paraId="1215EF90" w14:textId="7ABA9808" w:rsidR="003A1CC9" w:rsidRPr="00FD5699" w:rsidRDefault="00A02C6D" w:rsidP="003A1CC9">
      <w:pPr>
        <w:rPr>
          <w:b/>
          <w:sz w:val="36"/>
          <w:szCs w:val="36"/>
          <w:lang w:val="en-AU"/>
        </w:rPr>
      </w:pPr>
      <w:r>
        <w:rPr>
          <w:b/>
          <w:sz w:val="36"/>
          <w:szCs w:val="36"/>
          <w:lang w:val="en-AU"/>
        </w:rPr>
        <w:t>DRAFT AMENDMENT 90</w:t>
      </w:r>
    </w:p>
    <w:p w14:paraId="46AE7CB2" w14:textId="731272A4" w:rsidR="003A1CC9" w:rsidRPr="00FD5699" w:rsidRDefault="00F37707" w:rsidP="003A1CC9">
      <w:pPr>
        <w:rPr>
          <w:sz w:val="36"/>
          <w:szCs w:val="36"/>
          <w:lang w:val="en-AU"/>
        </w:rPr>
      </w:pPr>
      <w:r w:rsidRPr="00F37707">
        <w:rPr>
          <w:b/>
          <w:sz w:val="36"/>
          <w:szCs w:val="36"/>
          <w:lang w:val="en-AU"/>
        </w:rPr>
        <w:t>Mint Administration Building</w:t>
      </w:r>
    </w:p>
    <w:p w14:paraId="2EF2980D" w14:textId="77777777" w:rsidR="003A1CC9" w:rsidRPr="00FD5699" w:rsidRDefault="003A1CC9" w:rsidP="003A1CC9">
      <w:pPr>
        <w:rPr>
          <w:b/>
          <w:sz w:val="36"/>
          <w:szCs w:val="36"/>
          <w:lang w:val="en-AU"/>
        </w:rPr>
      </w:pPr>
    </w:p>
    <w:p w14:paraId="2BBFE6F7" w14:textId="77777777" w:rsidR="003A1CC9" w:rsidRPr="00FD5699" w:rsidRDefault="003A1CC9" w:rsidP="003A1CC9">
      <w:pPr>
        <w:rPr>
          <w:b/>
          <w:sz w:val="36"/>
          <w:szCs w:val="36"/>
          <w:lang w:val="en-AU"/>
        </w:rPr>
      </w:pPr>
    </w:p>
    <w:p w14:paraId="7C0C6D11" w14:textId="77777777" w:rsidR="003A1CC9" w:rsidRPr="00FD5699" w:rsidRDefault="003A1CC9" w:rsidP="003A1CC9">
      <w:pPr>
        <w:rPr>
          <w:b/>
          <w:sz w:val="36"/>
          <w:szCs w:val="36"/>
          <w:lang w:val="en-AU"/>
        </w:rPr>
      </w:pPr>
    </w:p>
    <w:p w14:paraId="03C10F21" w14:textId="77777777" w:rsidR="003A1CC9" w:rsidRPr="00FD5699" w:rsidRDefault="003A1CC9" w:rsidP="003A1CC9">
      <w:pPr>
        <w:rPr>
          <w:b/>
          <w:sz w:val="36"/>
          <w:szCs w:val="36"/>
          <w:lang w:val="en-AU"/>
        </w:rPr>
      </w:pPr>
    </w:p>
    <w:p w14:paraId="206E1279" w14:textId="77777777" w:rsidR="003A1CC9" w:rsidRPr="00FD5699" w:rsidRDefault="003A1CC9" w:rsidP="003A1CC9">
      <w:pPr>
        <w:rPr>
          <w:b/>
          <w:sz w:val="36"/>
          <w:szCs w:val="36"/>
          <w:lang w:val="en-AU"/>
        </w:rPr>
      </w:pPr>
    </w:p>
    <w:p w14:paraId="39C76940" w14:textId="77777777" w:rsidR="003A1CC9" w:rsidRPr="00FD5699" w:rsidRDefault="003A1CC9" w:rsidP="003A1CC9">
      <w:pPr>
        <w:rPr>
          <w:b/>
          <w:sz w:val="36"/>
          <w:szCs w:val="36"/>
          <w:lang w:val="en-AU"/>
        </w:rPr>
      </w:pPr>
    </w:p>
    <w:p w14:paraId="321D860E" w14:textId="77777777" w:rsidR="003A1CC9" w:rsidRPr="00FD5699" w:rsidRDefault="003A1CC9" w:rsidP="003A1CC9">
      <w:pPr>
        <w:rPr>
          <w:b/>
          <w:sz w:val="36"/>
          <w:szCs w:val="36"/>
          <w:lang w:val="en-AU"/>
        </w:rPr>
      </w:pPr>
    </w:p>
    <w:p w14:paraId="31AC9DB4" w14:textId="733DB392" w:rsidR="003A1CC9" w:rsidRPr="00FD5699" w:rsidRDefault="00F37707" w:rsidP="003A1CC9">
      <w:pPr>
        <w:rPr>
          <w:sz w:val="36"/>
          <w:szCs w:val="36"/>
          <w:lang w:val="en-AU"/>
        </w:rPr>
      </w:pPr>
      <w:r>
        <w:rPr>
          <w:sz w:val="36"/>
          <w:szCs w:val="36"/>
          <w:lang w:val="en-AU"/>
        </w:rPr>
        <w:t>July 2018</w:t>
      </w:r>
    </w:p>
    <w:p w14:paraId="2C857FF8" w14:textId="77777777" w:rsidR="005F03C8" w:rsidRDefault="003A1CC9">
      <w:pPr>
        <w:pStyle w:val="TOC1"/>
        <w:tabs>
          <w:tab w:val="right" w:leader="dot" w:pos="8636"/>
        </w:tabs>
        <w:rPr>
          <w:noProof/>
        </w:rPr>
      </w:pPr>
      <w:r w:rsidRPr="00FD5699">
        <w:rPr>
          <w:highlight w:val="yellow"/>
          <w:lang w:val="en-AU"/>
        </w:rPr>
        <w:br w:type="page"/>
      </w:r>
      <w:bookmarkStart w:id="1" w:name="_Toc329685578"/>
      <w:r w:rsidR="000F4383" w:rsidRPr="00FD5699">
        <w:rPr>
          <w:rFonts w:cs="Calibri"/>
          <w:b/>
          <w:sz w:val="32"/>
          <w:szCs w:val="32"/>
          <w:lang w:val="en-AU"/>
        </w:rPr>
        <w:lastRenderedPageBreak/>
        <w:t xml:space="preserve">Table of </w:t>
      </w:r>
      <w:r w:rsidRPr="00FD5699">
        <w:rPr>
          <w:rStyle w:val="Heading2Char"/>
          <w:rFonts w:cs="Calibri"/>
          <w:szCs w:val="32"/>
          <w:lang w:val="en-AU"/>
        </w:rPr>
        <w:t>Contents</w:t>
      </w:r>
      <w:r w:rsidRPr="00FD5699">
        <w:rPr>
          <w:rFonts w:cs="Calibri"/>
          <w:b/>
          <w:sz w:val="32"/>
          <w:szCs w:val="32"/>
          <w:lang w:val="en-AU"/>
        </w:rPr>
        <w:fldChar w:fldCharType="begin"/>
      </w:r>
      <w:r w:rsidRPr="00FD5699">
        <w:rPr>
          <w:rFonts w:cs="Calibri"/>
          <w:b/>
          <w:sz w:val="32"/>
          <w:szCs w:val="32"/>
          <w:lang w:val="en-AU"/>
        </w:rPr>
        <w:instrText xml:space="preserve"> TOC \o "1-3" \h \z \u </w:instrText>
      </w:r>
      <w:r w:rsidRPr="00FD5699">
        <w:rPr>
          <w:rFonts w:cs="Calibri"/>
          <w:b/>
          <w:sz w:val="32"/>
          <w:szCs w:val="32"/>
          <w:lang w:val="en-AU"/>
        </w:rPr>
        <w:fldChar w:fldCharType="separate"/>
      </w:r>
    </w:p>
    <w:p w14:paraId="287C28E2" w14:textId="0418FC9C" w:rsidR="005F03C8" w:rsidRDefault="00F22755">
      <w:pPr>
        <w:pStyle w:val="TOC1"/>
        <w:tabs>
          <w:tab w:val="right" w:leader="dot" w:pos="8636"/>
        </w:tabs>
        <w:rPr>
          <w:rFonts w:asciiTheme="minorHAnsi" w:eastAsiaTheme="minorEastAsia" w:hAnsiTheme="minorHAnsi" w:cstheme="minorBidi"/>
          <w:noProof/>
          <w:szCs w:val="22"/>
          <w:lang w:val="en-AU" w:eastAsia="en-AU"/>
        </w:rPr>
      </w:pPr>
      <w:hyperlink w:anchor="_Toc520704156" w:history="1">
        <w:r w:rsidR="005F03C8" w:rsidRPr="00EA76B9">
          <w:rPr>
            <w:rStyle w:val="Hyperlink"/>
            <w:noProof/>
            <w:lang w:val="en-AU"/>
          </w:rPr>
          <w:t>1 Introduction</w:t>
        </w:r>
        <w:r w:rsidR="005F03C8">
          <w:rPr>
            <w:noProof/>
            <w:webHidden/>
          </w:rPr>
          <w:tab/>
        </w:r>
        <w:r w:rsidR="005F03C8">
          <w:rPr>
            <w:noProof/>
            <w:webHidden/>
          </w:rPr>
          <w:fldChar w:fldCharType="begin"/>
        </w:r>
        <w:r w:rsidR="005F03C8">
          <w:rPr>
            <w:noProof/>
            <w:webHidden/>
          </w:rPr>
          <w:instrText xml:space="preserve"> PAGEREF _Toc520704156 \h </w:instrText>
        </w:r>
        <w:r w:rsidR="005F03C8">
          <w:rPr>
            <w:noProof/>
            <w:webHidden/>
          </w:rPr>
        </w:r>
        <w:r w:rsidR="005F03C8">
          <w:rPr>
            <w:noProof/>
            <w:webHidden/>
          </w:rPr>
          <w:fldChar w:fldCharType="separate"/>
        </w:r>
        <w:r w:rsidR="005F03C8">
          <w:rPr>
            <w:noProof/>
            <w:webHidden/>
          </w:rPr>
          <w:t>3</w:t>
        </w:r>
        <w:r w:rsidR="005F03C8">
          <w:rPr>
            <w:noProof/>
            <w:webHidden/>
          </w:rPr>
          <w:fldChar w:fldCharType="end"/>
        </w:r>
      </w:hyperlink>
    </w:p>
    <w:p w14:paraId="3E393933" w14:textId="653BB924" w:rsidR="005F03C8" w:rsidRDefault="00F22755">
      <w:pPr>
        <w:pStyle w:val="TOC2"/>
        <w:tabs>
          <w:tab w:val="left" w:pos="880"/>
          <w:tab w:val="right" w:leader="dot" w:pos="8636"/>
        </w:tabs>
        <w:rPr>
          <w:rFonts w:asciiTheme="minorHAnsi" w:eastAsiaTheme="minorEastAsia" w:hAnsiTheme="minorHAnsi" w:cstheme="minorBidi"/>
          <w:noProof/>
          <w:szCs w:val="22"/>
          <w:lang w:val="en-AU" w:eastAsia="en-AU"/>
        </w:rPr>
      </w:pPr>
      <w:hyperlink w:anchor="_Toc520704157" w:history="1">
        <w:r w:rsidR="005F03C8" w:rsidRPr="00EA76B9">
          <w:rPr>
            <w:rStyle w:val="Hyperlink"/>
            <w:noProof/>
            <w:lang w:val="en-AU"/>
          </w:rPr>
          <w:t>1.1</w:t>
        </w:r>
        <w:r w:rsidR="005F03C8">
          <w:rPr>
            <w:rFonts w:asciiTheme="minorHAnsi" w:eastAsiaTheme="minorEastAsia" w:hAnsiTheme="minorHAnsi" w:cstheme="minorBidi"/>
            <w:noProof/>
            <w:szCs w:val="22"/>
            <w:lang w:val="en-AU" w:eastAsia="en-AU"/>
          </w:rPr>
          <w:tab/>
        </w:r>
        <w:r w:rsidR="005F03C8" w:rsidRPr="00EA76B9">
          <w:rPr>
            <w:rStyle w:val="Hyperlink"/>
            <w:noProof/>
            <w:lang w:val="en-AU"/>
          </w:rPr>
          <w:t>Purpose and background</w:t>
        </w:r>
        <w:r w:rsidR="005F03C8">
          <w:rPr>
            <w:noProof/>
            <w:webHidden/>
          </w:rPr>
          <w:tab/>
        </w:r>
        <w:r w:rsidR="005F03C8">
          <w:rPr>
            <w:noProof/>
            <w:webHidden/>
          </w:rPr>
          <w:fldChar w:fldCharType="begin"/>
        </w:r>
        <w:r w:rsidR="005F03C8">
          <w:rPr>
            <w:noProof/>
            <w:webHidden/>
          </w:rPr>
          <w:instrText xml:space="preserve"> PAGEREF _Toc520704157 \h </w:instrText>
        </w:r>
        <w:r w:rsidR="005F03C8">
          <w:rPr>
            <w:noProof/>
            <w:webHidden/>
          </w:rPr>
        </w:r>
        <w:r w:rsidR="005F03C8">
          <w:rPr>
            <w:noProof/>
            <w:webHidden/>
          </w:rPr>
          <w:fldChar w:fldCharType="separate"/>
        </w:r>
        <w:r w:rsidR="005F03C8">
          <w:rPr>
            <w:noProof/>
            <w:webHidden/>
          </w:rPr>
          <w:t>3</w:t>
        </w:r>
        <w:r w:rsidR="005F03C8">
          <w:rPr>
            <w:noProof/>
            <w:webHidden/>
          </w:rPr>
          <w:fldChar w:fldCharType="end"/>
        </w:r>
      </w:hyperlink>
    </w:p>
    <w:p w14:paraId="34541DDD" w14:textId="4438251B" w:rsidR="005F03C8" w:rsidRDefault="00F22755">
      <w:pPr>
        <w:pStyle w:val="TOC1"/>
        <w:tabs>
          <w:tab w:val="left" w:pos="440"/>
          <w:tab w:val="right" w:leader="dot" w:pos="8636"/>
        </w:tabs>
        <w:rPr>
          <w:rFonts w:asciiTheme="minorHAnsi" w:eastAsiaTheme="minorEastAsia" w:hAnsiTheme="minorHAnsi" w:cstheme="minorBidi"/>
          <w:noProof/>
          <w:szCs w:val="22"/>
          <w:lang w:val="en-AU" w:eastAsia="en-AU"/>
        </w:rPr>
      </w:pPr>
      <w:hyperlink w:anchor="_Toc520704158" w:history="1">
        <w:r w:rsidR="005F03C8" w:rsidRPr="00EA76B9">
          <w:rPr>
            <w:rStyle w:val="Hyperlink"/>
            <w:noProof/>
            <w:lang w:val="en-AU"/>
          </w:rPr>
          <w:t>2</w:t>
        </w:r>
        <w:r w:rsidR="005F03C8">
          <w:rPr>
            <w:rFonts w:asciiTheme="minorHAnsi" w:eastAsiaTheme="minorEastAsia" w:hAnsiTheme="minorHAnsi" w:cstheme="minorBidi"/>
            <w:noProof/>
            <w:szCs w:val="22"/>
            <w:lang w:val="en-AU" w:eastAsia="en-AU"/>
          </w:rPr>
          <w:tab/>
        </w:r>
        <w:r w:rsidR="005F03C8" w:rsidRPr="00EA76B9">
          <w:rPr>
            <w:rStyle w:val="Hyperlink"/>
            <w:noProof/>
            <w:lang w:val="en-AU"/>
          </w:rPr>
          <w:t>Consultation</w:t>
        </w:r>
        <w:r w:rsidR="005F03C8">
          <w:rPr>
            <w:noProof/>
            <w:webHidden/>
          </w:rPr>
          <w:tab/>
        </w:r>
        <w:r w:rsidR="005F03C8">
          <w:rPr>
            <w:noProof/>
            <w:webHidden/>
          </w:rPr>
          <w:fldChar w:fldCharType="begin"/>
        </w:r>
        <w:r w:rsidR="005F03C8">
          <w:rPr>
            <w:noProof/>
            <w:webHidden/>
          </w:rPr>
          <w:instrText xml:space="preserve"> PAGEREF _Toc520704158 \h </w:instrText>
        </w:r>
        <w:r w:rsidR="005F03C8">
          <w:rPr>
            <w:noProof/>
            <w:webHidden/>
          </w:rPr>
        </w:r>
        <w:r w:rsidR="005F03C8">
          <w:rPr>
            <w:noProof/>
            <w:webHidden/>
          </w:rPr>
          <w:fldChar w:fldCharType="separate"/>
        </w:r>
        <w:r w:rsidR="005F03C8">
          <w:rPr>
            <w:noProof/>
            <w:webHidden/>
          </w:rPr>
          <w:t>3</w:t>
        </w:r>
        <w:r w:rsidR="005F03C8">
          <w:rPr>
            <w:noProof/>
            <w:webHidden/>
          </w:rPr>
          <w:fldChar w:fldCharType="end"/>
        </w:r>
      </w:hyperlink>
    </w:p>
    <w:p w14:paraId="424788E1" w14:textId="128A1A83" w:rsidR="005F03C8" w:rsidRDefault="00F22755">
      <w:pPr>
        <w:pStyle w:val="TOC1"/>
        <w:tabs>
          <w:tab w:val="left" w:pos="440"/>
          <w:tab w:val="right" w:leader="dot" w:pos="8636"/>
        </w:tabs>
        <w:rPr>
          <w:rFonts w:asciiTheme="minorHAnsi" w:eastAsiaTheme="minorEastAsia" w:hAnsiTheme="minorHAnsi" w:cstheme="minorBidi"/>
          <w:noProof/>
          <w:szCs w:val="22"/>
          <w:lang w:val="en-AU" w:eastAsia="en-AU"/>
        </w:rPr>
      </w:pPr>
      <w:hyperlink w:anchor="_Toc520704163" w:history="1">
        <w:r w:rsidR="005F03C8" w:rsidRPr="00EA76B9">
          <w:rPr>
            <w:rStyle w:val="Hyperlink"/>
            <w:noProof/>
            <w:lang w:val="en-AU"/>
          </w:rPr>
          <w:t>3</w:t>
        </w:r>
        <w:r w:rsidR="005F03C8">
          <w:rPr>
            <w:rFonts w:asciiTheme="minorHAnsi" w:eastAsiaTheme="minorEastAsia" w:hAnsiTheme="minorHAnsi" w:cstheme="minorBidi"/>
            <w:noProof/>
            <w:szCs w:val="22"/>
            <w:lang w:val="en-AU" w:eastAsia="en-AU"/>
          </w:rPr>
          <w:tab/>
        </w:r>
        <w:r w:rsidR="005F03C8" w:rsidRPr="00EA76B9">
          <w:rPr>
            <w:rStyle w:val="Hyperlink"/>
            <w:noProof/>
            <w:lang w:val="en-AU"/>
          </w:rPr>
          <w:t>Key issues</w:t>
        </w:r>
        <w:r w:rsidR="005F03C8">
          <w:rPr>
            <w:noProof/>
            <w:webHidden/>
          </w:rPr>
          <w:tab/>
        </w:r>
        <w:r w:rsidR="005F03C8">
          <w:rPr>
            <w:noProof/>
            <w:webHidden/>
          </w:rPr>
          <w:fldChar w:fldCharType="begin"/>
        </w:r>
        <w:r w:rsidR="005F03C8">
          <w:rPr>
            <w:noProof/>
            <w:webHidden/>
          </w:rPr>
          <w:instrText xml:space="preserve"> PAGEREF _Toc520704163 \h </w:instrText>
        </w:r>
        <w:r w:rsidR="005F03C8">
          <w:rPr>
            <w:noProof/>
            <w:webHidden/>
          </w:rPr>
        </w:r>
        <w:r w:rsidR="005F03C8">
          <w:rPr>
            <w:noProof/>
            <w:webHidden/>
          </w:rPr>
          <w:fldChar w:fldCharType="separate"/>
        </w:r>
        <w:r w:rsidR="005F03C8">
          <w:rPr>
            <w:noProof/>
            <w:webHidden/>
          </w:rPr>
          <w:t>3</w:t>
        </w:r>
        <w:r w:rsidR="005F03C8">
          <w:rPr>
            <w:noProof/>
            <w:webHidden/>
          </w:rPr>
          <w:fldChar w:fldCharType="end"/>
        </w:r>
      </w:hyperlink>
    </w:p>
    <w:p w14:paraId="4D5B0018" w14:textId="2CF29E81" w:rsidR="005F03C8" w:rsidRDefault="00F22755">
      <w:pPr>
        <w:pStyle w:val="TOC2"/>
        <w:tabs>
          <w:tab w:val="left" w:pos="880"/>
          <w:tab w:val="right" w:leader="dot" w:pos="8636"/>
        </w:tabs>
        <w:rPr>
          <w:rFonts w:asciiTheme="minorHAnsi" w:eastAsiaTheme="minorEastAsia" w:hAnsiTheme="minorHAnsi" w:cstheme="minorBidi"/>
          <w:noProof/>
          <w:szCs w:val="22"/>
          <w:lang w:val="en-AU" w:eastAsia="en-AU"/>
        </w:rPr>
      </w:pPr>
      <w:hyperlink w:anchor="_Toc520704164" w:history="1">
        <w:r w:rsidR="005F03C8" w:rsidRPr="00EA76B9">
          <w:rPr>
            <w:rStyle w:val="Hyperlink"/>
            <w:noProof/>
            <w:lang w:val="en-AU"/>
          </w:rPr>
          <w:t>3.1</w:t>
        </w:r>
        <w:r w:rsidR="005F03C8">
          <w:rPr>
            <w:rFonts w:asciiTheme="minorHAnsi" w:eastAsiaTheme="minorEastAsia" w:hAnsiTheme="minorHAnsi" w:cstheme="minorBidi"/>
            <w:noProof/>
            <w:szCs w:val="22"/>
            <w:lang w:val="en-AU" w:eastAsia="en-AU"/>
          </w:rPr>
          <w:tab/>
        </w:r>
        <w:r w:rsidR="005F03C8" w:rsidRPr="00EA76B9">
          <w:rPr>
            <w:rStyle w:val="Hyperlink"/>
            <w:noProof/>
            <w:lang w:val="en-AU"/>
          </w:rPr>
          <w:t>Heritage</w:t>
        </w:r>
        <w:r w:rsidR="005F03C8">
          <w:rPr>
            <w:noProof/>
            <w:webHidden/>
          </w:rPr>
          <w:tab/>
        </w:r>
        <w:r w:rsidR="005F03C8">
          <w:rPr>
            <w:noProof/>
            <w:webHidden/>
          </w:rPr>
          <w:fldChar w:fldCharType="begin"/>
        </w:r>
        <w:r w:rsidR="005F03C8">
          <w:rPr>
            <w:noProof/>
            <w:webHidden/>
          </w:rPr>
          <w:instrText xml:space="preserve"> PAGEREF _Toc520704164 \h </w:instrText>
        </w:r>
        <w:r w:rsidR="005F03C8">
          <w:rPr>
            <w:noProof/>
            <w:webHidden/>
          </w:rPr>
        </w:r>
        <w:r w:rsidR="005F03C8">
          <w:rPr>
            <w:noProof/>
            <w:webHidden/>
          </w:rPr>
          <w:fldChar w:fldCharType="separate"/>
        </w:r>
        <w:r w:rsidR="005F03C8">
          <w:rPr>
            <w:noProof/>
            <w:webHidden/>
          </w:rPr>
          <w:t>3</w:t>
        </w:r>
        <w:r w:rsidR="005F03C8">
          <w:rPr>
            <w:noProof/>
            <w:webHidden/>
          </w:rPr>
          <w:fldChar w:fldCharType="end"/>
        </w:r>
      </w:hyperlink>
    </w:p>
    <w:p w14:paraId="371F8930" w14:textId="04557728" w:rsidR="005F03C8" w:rsidRDefault="00F22755">
      <w:pPr>
        <w:pStyle w:val="TOC2"/>
        <w:tabs>
          <w:tab w:val="left" w:pos="880"/>
          <w:tab w:val="right" w:leader="dot" w:pos="8636"/>
        </w:tabs>
        <w:rPr>
          <w:rFonts w:asciiTheme="minorHAnsi" w:eastAsiaTheme="minorEastAsia" w:hAnsiTheme="minorHAnsi" w:cstheme="minorBidi"/>
          <w:noProof/>
          <w:szCs w:val="22"/>
          <w:lang w:val="en-AU" w:eastAsia="en-AU"/>
        </w:rPr>
      </w:pPr>
      <w:hyperlink w:anchor="_Toc520704165" w:history="1">
        <w:r w:rsidR="005F03C8" w:rsidRPr="00EA76B9">
          <w:rPr>
            <w:rStyle w:val="Hyperlink"/>
            <w:noProof/>
            <w:lang w:val="en-AU"/>
          </w:rPr>
          <w:t>3.2</w:t>
        </w:r>
        <w:r w:rsidR="005F03C8">
          <w:rPr>
            <w:rFonts w:asciiTheme="minorHAnsi" w:eastAsiaTheme="minorEastAsia" w:hAnsiTheme="minorHAnsi" w:cstheme="minorBidi"/>
            <w:noProof/>
            <w:szCs w:val="22"/>
            <w:lang w:val="en-AU" w:eastAsia="en-AU"/>
          </w:rPr>
          <w:tab/>
        </w:r>
        <w:r w:rsidR="005F03C8" w:rsidRPr="00EA76B9">
          <w:rPr>
            <w:rStyle w:val="Hyperlink"/>
            <w:noProof/>
            <w:lang w:val="en-AU"/>
          </w:rPr>
          <w:t>Land Use</w:t>
        </w:r>
        <w:r w:rsidR="005F03C8">
          <w:rPr>
            <w:noProof/>
            <w:webHidden/>
          </w:rPr>
          <w:tab/>
        </w:r>
        <w:r w:rsidR="005F03C8">
          <w:rPr>
            <w:noProof/>
            <w:webHidden/>
          </w:rPr>
          <w:fldChar w:fldCharType="begin"/>
        </w:r>
        <w:r w:rsidR="005F03C8">
          <w:rPr>
            <w:noProof/>
            <w:webHidden/>
          </w:rPr>
          <w:instrText xml:space="preserve"> PAGEREF _Toc520704165 \h </w:instrText>
        </w:r>
        <w:r w:rsidR="005F03C8">
          <w:rPr>
            <w:noProof/>
            <w:webHidden/>
          </w:rPr>
        </w:r>
        <w:r w:rsidR="005F03C8">
          <w:rPr>
            <w:noProof/>
            <w:webHidden/>
          </w:rPr>
          <w:fldChar w:fldCharType="separate"/>
        </w:r>
        <w:r w:rsidR="005F03C8">
          <w:rPr>
            <w:noProof/>
            <w:webHidden/>
          </w:rPr>
          <w:t>4</w:t>
        </w:r>
        <w:r w:rsidR="005F03C8">
          <w:rPr>
            <w:noProof/>
            <w:webHidden/>
          </w:rPr>
          <w:fldChar w:fldCharType="end"/>
        </w:r>
      </w:hyperlink>
    </w:p>
    <w:p w14:paraId="4FDEC290" w14:textId="01E2A443" w:rsidR="005F03C8" w:rsidRDefault="00F22755">
      <w:pPr>
        <w:pStyle w:val="TOC1"/>
        <w:tabs>
          <w:tab w:val="left" w:pos="440"/>
          <w:tab w:val="right" w:leader="dot" w:pos="8636"/>
        </w:tabs>
        <w:rPr>
          <w:rFonts w:asciiTheme="minorHAnsi" w:eastAsiaTheme="minorEastAsia" w:hAnsiTheme="minorHAnsi" w:cstheme="minorBidi"/>
          <w:noProof/>
          <w:szCs w:val="22"/>
          <w:lang w:val="en-AU" w:eastAsia="en-AU"/>
        </w:rPr>
      </w:pPr>
      <w:hyperlink w:anchor="_Toc520704166" w:history="1">
        <w:r w:rsidR="005F03C8" w:rsidRPr="00EA76B9">
          <w:rPr>
            <w:rStyle w:val="Hyperlink"/>
            <w:noProof/>
            <w:lang w:val="en-AU"/>
          </w:rPr>
          <w:t>4</w:t>
        </w:r>
        <w:r w:rsidR="005F03C8">
          <w:rPr>
            <w:rFonts w:asciiTheme="minorHAnsi" w:eastAsiaTheme="minorEastAsia" w:hAnsiTheme="minorHAnsi" w:cstheme="minorBidi"/>
            <w:noProof/>
            <w:szCs w:val="22"/>
            <w:lang w:val="en-AU" w:eastAsia="en-AU"/>
          </w:rPr>
          <w:tab/>
        </w:r>
        <w:r w:rsidR="005F03C8" w:rsidRPr="00EA76B9">
          <w:rPr>
            <w:rStyle w:val="Hyperlink"/>
            <w:noProof/>
            <w:lang w:val="en-AU"/>
          </w:rPr>
          <w:t>Recommended changes</w:t>
        </w:r>
        <w:r w:rsidR="005F03C8">
          <w:rPr>
            <w:noProof/>
            <w:webHidden/>
          </w:rPr>
          <w:tab/>
        </w:r>
        <w:r w:rsidR="005F03C8">
          <w:rPr>
            <w:noProof/>
            <w:webHidden/>
          </w:rPr>
          <w:fldChar w:fldCharType="begin"/>
        </w:r>
        <w:r w:rsidR="005F03C8">
          <w:rPr>
            <w:noProof/>
            <w:webHidden/>
          </w:rPr>
          <w:instrText xml:space="preserve"> PAGEREF _Toc520704166 \h </w:instrText>
        </w:r>
        <w:r w:rsidR="005F03C8">
          <w:rPr>
            <w:noProof/>
            <w:webHidden/>
          </w:rPr>
        </w:r>
        <w:r w:rsidR="005F03C8">
          <w:rPr>
            <w:noProof/>
            <w:webHidden/>
          </w:rPr>
          <w:fldChar w:fldCharType="separate"/>
        </w:r>
        <w:r w:rsidR="005F03C8">
          <w:rPr>
            <w:noProof/>
            <w:webHidden/>
          </w:rPr>
          <w:t>4</w:t>
        </w:r>
        <w:r w:rsidR="005F03C8">
          <w:rPr>
            <w:noProof/>
            <w:webHidden/>
          </w:rPr>
          <w:fldChar w:fldCharType="end"/>
        </w:r>
      </w:hyperlink>
    </w:p>
    <w:p w14:paraId="2FDAFD22" w14:textId="7D07CAA6" w:rsidR="005F03C8" w:rsidRDefault="00F22755">
      <w:pPr>
        <w:pStyle w:val="TOC1"/>
        <w:tabs>
          <w:tab w:val="left" w:pos="440"/>
          <w:tab w:val="right" w:leader="dot" w:pos="8636"/>
        </w:tabs>
        <w:rPr>
          <w:rFonts w:asciiTheme="minorHAnsi" w:eastAsiaTheme="minorEastAsia" w:hAnsiTheme="minorHAnsi" w:cstheme="minorBidi"/>
          <w:noProof/>
          <w:szCs w:val="22"/>
          <w:lang w:val="en-AU" w:eastAsia="en-AU"/>
        </w:rPr>
      </w:pPr>
      <w:hyperlink w:anchor="_Toc520704167" w:history="1">
        <w:r w:rsidR="005F03C8" w:rsidRPr="00EA76B9">
          <w:rPr>
            <w:rStyle w:val="Hyperlink"/>
            <w:noProof/>
            <w:lang w:val="en-AU"/>
          </w:rPr>
          <w:t>5</w:t>
        </w:r>
        <w:r w:rsidR="005F03C8">
          <w:rPr>
            <w:rFonts w:asciiTheme="minorHAnsi" w:eastAsiaTheme="minorEastAsia" w:hAnsiTheme="minorHAnsi" w:cstheme="minorBidi"/>
            <w:noProof/>
            <w:szCs w:val="22"/>
            <w:lang w:val="en-AU" w:eastAsia="en-AU"/>
          </w:rPr>
          <w:tab/>
        </w:r>
        <w:r w:rsidR="005F03C8" w:rsidRPr="00EA76B9">
          <w:rPr>
            <w:rStyle w:val="Hyperlink"/>
            <w:noProof/>
            <w:lang w:val="en-AU"/>
          </w:rPr>
          <w:t>Conclusion</w:t>
        </w:r>
        <w:r w:rsidR="005F03C8">
          <w:rPr>
            <w:noProof/>
            <w:webHidden/>
          </w:rPr>
          <w:tab/>
        </w:r>
        <w:r w:rsidR="005F03C8">
          <w:rPr>
            <w:noProof/>
            <w:webHidden/>
          </w:rPr>
          <w:fldChar w:fldCharType="begin"/>
        </w:r>
        <w:r w:rsidR="005F03C8">
          <w:rPr>
            <w:noProof/>
            <w:webHidden/>
          </w:rPr>
          <w:instrText xml:space="preserve"> PAGEREF _Toc520704167 \h </w:instrText>
        </w:r>
        <w:r w:rsidR="005F03C8">
          <w:rPr>
            <w:noProof/>
            <w:webHidden/>
          </w:rPr>
        </w:r>
        <w:r w:rsidR="005F03C8">
          <w:rPr>
            <w:noProof/>
            <w:webHidden/>
          </w:rPr>
          <w:fldChar w:fldCharType="separate"/>
        </w:r>
        <w:r w:rsidR="005F03C8">
          <w:rPr>
            <w:noProof/>
            <w:webHidden/>
          </w:rPr>
          <w:t>4</w:t>
        </w:r>
        <w:r w:rsidR="005F03C8">
          <w:rPr>
            <w:noProof/>
            <w:webHidden/>
          </w:rPr>
          <w:fldChar w:fldCharType="end"/>
        </w:r>
      </w:hyperlink>
    </w:p>
    <w:p w14:paraId="7F2DCDA0" w14:textId="365CDE41" w:rsidR="005F03C8" w:rsidRDefault="00F22755">
      <w:pPr>
        <w:pStyle w:val="TOC1"/>
        <w:tabs>
          <w:tab w:val="left" w:pos="440"/>
          <w:tab w:val="right" w:leader="dot" w:pos="8636"/>
        </w:tabs>
        <w:rPr>
          <w:rFonts w:asciiTheme="minorHAnsi" w:eastAsiaTheme="minorEastAsia" w:hAnsiTheme="minorHAnsi" w:cstheme="minorBidi"/>
          <w:noProof/>
          <w:szCs w:val="22"/>
          <w:lang w:val="en-AU" w:eastAsia="en-AU"/>
        </w:rPr>
      </w:pPr>
      <w:hyperlink w:anchor="_Toc520704168" w:history="1">
        <w:r w:rsidR="005F03C8" w:rsidRPr="00EA76B9">
          <w:rPr>
            <w:rStyle w:val="Hyperlink"/>
            <w:noProof/>
            <w:lang w:val="en-AU"/>
          </w:rPr>
          <w:t>6</w:t>
        </w:r>
        <w:r w:rsidR="005F03C8">
          <w:rPr>
            <w:rFonts w:asciiTheme="minorHAnsi" w:eastAsiaTheme="minorEastAsia" w:hAnsiTheme="minorHAnsi" w:cstheme="minorBidi"/>
            <w:noProof/>
            <w:szCs w:val="22"/>
            <w:lang w:val="en-AU" w:eastAsia="en-AU"/>
          </w:rPr>
          <w:tab/>
        </w:r>
        <w:r w:rsidR="005F03C8" w:rsidRPr="00EA76B9">
          <w:rPr>
            <w:rStyle w:val="Hyperlink"/>
            <w:noProof/>
            <w:lang w:val="en-AU"/>
          </w:rPr>
          <w:t>Attachments</w:t>
        </w:r>
        <w:r w:rsidR="005F03C8">
          <w:rPr>
            <w:noProof/>
            <w:webHidden/>
          </w:rPr>
          <w:tab/>
        </w:r>
        <w:r w:rsidR="005F03C8">
          <w:rPr>
            <w:noProof/>
            <w:webHidden/>
          </w:rPr>
          <w:fldChar w:fldCharType="begin"/>
        </w:r>
        <w:r w:rsidR="005F03C8">
          <w:rPr>
            <w:noProof/>
            <w:webHidden/>
          </w:rPr>
          <w:instrText xml:space="preserve"> PAGEREF _Toc520704168 \h </w:instrText>
        </w:r>
        <w:r w:rsidR="005F03C8">
          <w:rPr>
            <w:noProof/>
            <w:webHidden/>
          </w:rPr>
        </w:r>
        <w:r w:rsidR="005F03C8">
          <w:rPr>
            <w:noProof/>
            <w:webHidden/>
          </w:rPr>
          <w:fldChar w:fldCharType="separate"/>
        </w:r>
        <w:r w:rsidR="005F03C8">
          <w:rPr>
            <w:noProof/>
            <w:webHidden/>
          </w:rPr>
          <w:t>4</w:t>
        </w:r>
        <w:r w:rsidR="005F03C8">
          <w:rPr>
            <w:noProof/>
            <w:webHidden/>
          </w:rPr>
          <w:fldChar w:fldCharType="end"/>
        </w:r>
      </w:hyperlink>
    </w:p>
    <w:p w14:paraId="1B366FE2" w14:textId="2AB61D89" w:rsidR="005F03C8" w:rsidRDefault="00F22755" w:rsidP="005F03C8">
      <w:pPr>
        <w:pStyle w:val="TOC3"/>
        <w:rPr>
          <w:rFonts w:asciiTheme="minorHAnsi" w:eastAsiaTheme="minorEastAsia" w:hAnsiTheme="minorHAnsi" w:cstheme="minorBidi"/>
          <w:noProof/>
          <w:szCs w:val="22"/>
          <w:lang w:val="en-AU" w:eastAsia="en-AU"/>
        </w:rPr>
      </w:pPr>
      <w:hyperlink w:anchor="_Toc520704169" w:history="1">
        <w:r w:rsidR="005F03C8" w:rsidRPr="00EA76B9">
          <w:rPr>
            <w:rStyle w:val="Hyperlink"/>
            <w:noProof/>
            <w:lang w:val="en-AU"/>
          </w:rPr>
          <w:t>Attachment 1 – Canberra Times notice</w:t>
        </w:r>
        <w:r w:rsidR="005F03C8">
          <w:rPr>
            <w:noProof/>
            <w:webHidden/>
          </w:rPr>
          <w:tab/>
        </w:r>
        <w:r w:rsidR="005F03C8">
          <w:rPr>
            <w:noProof/>
            <w:webHidden/>
          </w:rPr>
          <w:fldChar w:fldCharType="begin"/>
        </w:r>
        <w:r w:rsidR="005F03C8">
          <w:rPr>
            <w:noProof/>
            <w:webHidden/>
          </w:rPr>
          <w:instrText xml:space="preserve"> PAGEREF _Toc520704169 \h </w:instrText>
        </w:r>
        <w:r w:rsidR="005F03C8">
          <w:rPr>
            <w:noProof/>
            <w:webHidden/>
          </w:rPr>
        </w:r>
        <w:r w:rsidR="005F03C8">
          <w:rPr>
            <w:noProof/>
            <w:webHidden/>
          </w:rPr>
          <w:fldChar w:fldCharType="separate"/>
        </w:r>
        <w:r w:rsidR="005F03C8">
          <w:rPr>
            <w:noProof/>
            <w:webHidden/>
          </w:rPr>
          <w:t>5</w:t>
        </w:r>
        <w:r w:rsidR="005F03C8">
          <w:rPr>
            <w:noProof/>
            <w:webHidden/>
          </w:rPr>
          <w:fldChar w:fldCharType="end"/>
        </w:r>
      </w:hyperlink>
    </w:p>
    <w:p w14:paraId="126EF537" w14:textId="0544CB92" w:rsidR="005F03C8" w:rsidRDefault="00F22755" w:rsidP="005F03C8">
      <w:pPr>
        <w:pStyle w:val="TOC3"/>
        <w:rPr>
          <w:rFonts w:asciiTheme="minorHAnsi" w:eastAsiaTheme="minorEastAsia" w:hAnsiTheme="minorHAnsi" w:cstheme="minorBidi"/>
          <w:noProof/>
          <w:szCs w:val="22"/>
          <w:lang w:val="en-AU" w:eastAsia="en-AU"/>
        </w:rPr>
      </w:pPr>
      <w:hyperlink w:anchor="_Toc520704170" w:history="1">
        <w:r w:rsidR="005F03C8" w:rsidRPr="00EA76B9">
          <w:rPr>
            <w:rStyle w:val="Hyperlink"/>
            <w:noProof/>
          </w:rPr>
          <w:t>Attachment 2 – Government Notices Gazette notice</w:t>
        </w:r>
        <w:r w:rsidR="005F03C8">
          <w:rPr>
            <w:noProof/>
            <w:webHidden/>
          </w:rPr>
          <w:tab/>
        </w:r>
        <w:r w:rsidR="005F03C8">
          <w:rPr>
            <w:noProof/>
            <w:webHidden/>
          </w:rPr>
          <w:fldChar w:fldCharType="begin"/>
        </w:r>
        <w:r w:rsidR="005F03C8">
          <w:rPr>
            <w:noProof/>
            <w:webHidden/>
          </w:rPr>
          <w:instrText xml:space="preserve"> PAGEREF _Toc520704170 \h </w:instrText>
        </w:r>
        <w:r w:rsidR="005F03C8">
          <w:rPr>
            <w:noProof/>
            <w:webHidden/>
          </w:rPr>
        </w:r>
        <w:r w:rsidR="005F03C8">
          <w:rPr>
            <w:noProof/>
            <w:webHidden/>
          </w:rPr>
          <w:fldChar w:fldCharType="separate"/>
        </w:r>
        <w:r w:rsidR="005F03C8">
          <w:rPr>
            <w:noProof/>
            <w:webHidden/>
          </w:rPr>
          <w:t>6</w:t>
        </w:r>
        <w:r w:rsidR="005F03C8">
          <w:rPr>
            <w:noProof/>
            <w:webHidden/>
          </w:rPr>
          <w:fldChar w:fldCharType="end"/>
        </w:r>
      </w:hyperlink>
    </w:p>
    <w:p w14:paraId="45C1F6BA" w14:textId="79B8EA10" w:rsidR="005F03C8" w:rsidRDefault="00F22755" w:rsidP="005F03C8">
      <w:pPr>
        <w:pStyle w:val="TOC3"/>
        <w:rPr>
          <w:rFonts w:asciiTheme="minorHAnsi" w:eastAsiaTheme="minorEastAsia" w:hAnsiTheme="minorHAnsi" w:cstheme="minorBidi"/>
          <w:noProof/>
          <w:szCs w:val="22"/>
          <w:lang w:val="en-AU" w:eastAsia="en-AU"/>
        </w:rPr>
      </w:pPr>
      <w:hyperlink w:anchor="_Toc520704171" w:history="1">
        <w:r w:rsidR="005F03C8" w:rsidRPr="00EA76B9">
          <w:rPr>
            <w:rStyle w:val="Hyperlink"/>
            <w:noProof/>
            <w:lang w:val="en-AU"/>
          </w:rPr>
          <w:t>Attachment 3 – Summary of submissions</w:t>
        </w:r>
        <w:r w:rsidR="005F03C8">
          <w:rPr>
            <w:noProof/>
            <w:webHidden/>
          </w:rPr>
          <w:tab/>
        </w:r>
        <w:r w:rsidR="005F03C8">
          <w:rPr>
            <w:noProof/>
            <w:webHidden/>
          </w:rPr>
          <w:fldChar w:fldCharType="begin"/>
        </w:r>
        <w:r w:rsidR="005F03C8">
          <w:rPr>
            <w:noProof/>
            <w:webHidden/>
          </w:rPr>
          <w:instrText xml:space="preserve"> PAGEREF _Toc520704171 \h </w:instrText>
        </w:r>
        <w:r w:rsidR="005F03C8">
          <w:rPr>
            <w:noProof/>
            <w:webHidden/>
          </w:rPr>
        </w:r>
        <w:r w:rsidR="005F03C8">
          <w:rPr>
            <w:noProof/>
            <w:webHidden/>
          </w:rPr>
          <w:fldChar w:fldCharType="separate"/>
        </w:r>
        <w:r w:rsidR="005F03C8">
          <w:rPr>
            <w:noProof/>
            <w:webHidden/>
          </w:rPr>
          <w:t>7</w:t>
        </w:r>
        <w:r w:rsidR="005F03C8">
          <w:rPr>
            <w:noProof/>
            <w:webHidden/>
          </w:rPr>
          <w:fldChar w:fldCharType="end"/>
        </w:r>
      </w:hyperlink>
    </w:p>
    <w:p w14:paraId="5CE6160C" w14:textId="430E4E75" w:rsidR="003A1CC9" w:rsidRPr="00FD5699" w:rsidRDefault="003A1CC9" w:rsidP="003A1CC9">
      <w:pPr>
        <w:pStyle w:val="Heading1"/>
        <w:rPr>
          <w:highlight w:val="yellow"/>
          <w:lang w:val="en-AU"/>
        </w:rPr>
      </w:pPr>
      <w:r w:rsidRPr="00FD5699">
        <w:rPr>
          <w:lang w:val="en-AU"/>
        </w:rPr>
        <w:fldChar w:fldCharType="end"/>
      </w:r>
    </w:p>
    <w:p w14:paraId="01E8B9B5" w14:textId="77777777" w:rsidR="003A1CC9" w:rsidRPr="00FD5699" w:rsidRDefault="003A1CC9" w:rsidP="003A1CC9">
      <w:pPr>
        <w:rPr>
          <w:highlight w:val="yellow"/>
          <w:lang w:val="en-AU"/>
        </w:rPr>
      </w:pPr>
    </w:p>
    <w:p w14:paraId="58290515" w14:textId="77777777" w:rsidR="003A1CC9" w:rsidRPr="00FD5699" w:rsidRDefault="003A1CC9" w:rsidP="003A1CC9">
      <w:pPr>
        <w:pStyle w:val="Heading1"/>
        <w:rPr>
          <w:lang w:val="en-AU"/>
        </w:rPr>
      </w:pPr>
      <w:r w:rsidRPr="00FD5699">
        <w:rPr>
          <w:highlight w:val="yellow"/>
          <w:lang w:val="en-AU"/>
        </w:rPr>
        <w:br w:type="page"/>
      </w:r>
      <w:bookmarkStart w:id="2" w:name="_Toc520704156"/>
      <w:r w:rsidRPr="00FD5699">
        <w:rPr>
          <w:lang w:val="en-AU"/>
        </w:rPr>
        <w:lastRenderedPageBreak/>
        <w:t>1 Introduction</w:t>
      </w:r>
      <w:bookmarkEnd w:id="1"/>
      <w:bookmarkEnd w:id="2"/>
    </w:p>
    <w:p w14:paraId="38B4D68A" w14:textId="77777777" w:rsidR="003A1CC9" w:rsidRPr="00FD5699" w:rsidRDefault="003A1CC9" w:rsidP="003A1CC9">
      <w:pPr>
        <w:pStyle w:val="Heading2"/>
        <w:numPr>
          <w:ilvl w:val="1"/>
          <w:numId w:val="4"/>
        </w:numPr>
        <w:tabs>
          <w:tab w:val="clear" w:pos="792"/>
        </w:tabs>
        <w:ind w:hanging="792"/>
        <w:rPr>
          <w:lang w:val="en-AU"/>
        </w:rPr>
      </w:pPr>
      <w:bookmarkStart w:id="3" w:name="_Toc329685579"/>
      <w:bookmarkStart w:id="4" w:name="_Toc520704157"/>
      <w:r w:rsidRPr="00FD5699">
        <w:rPr>
          <w:lang w:val="en-AU"/>
        </w:rPr>
        <w:t>Purpose and background</w:t>
      </w:r>
      <w:bookmarkEnd w:id="3"/>
      <w:bookmarkEnd w:id="4"/>
    </w:p>
    <w:p w14:paraId="0C9749CC" w14:textId="77777777" w:rsidR="001A55C5" w:rsidRPr="00796B3C" w:rsidRDefault="001A55C5" w:rsidP="00177FCF">
      <w:pPr>
        <w:rPr>
          <w:lang w:val="en-AU"/>
        </w:rPr>
      </w:pPr>
      <w:r w:rsidRPr="00FD5699">
        <w:rPr>
          <w:lang w:val="en-AU"/>
        </w:rPr>
        <w:t xml:space="preserve">The National Capital Plan (the Plan) </w:t>
      </w:r>
      <w:r w:rsidR="005D3924" w:rsidRPr="00FD5699">
        <w:rPr>
          <w:lang w:val="en-AU"/>
        </w:rPr>
        <w:t>sets out general planning policies and principles for overall development of the Australian Capital Territory</w:t>
      </w:r>
      <w:r w:rsidR="005A5E13">
        <w:rPr>
          <w:lang w:val="en-AU"/>
        </w:rPr>
        <w:t xml:space="preserve"> (ACT)</w:t>
      </w:r>
      <w:r w:rsidR="005D3924" w:rsidRPr="00FD5699">
        <w:rPr>
          <w:lang w:val="en-AU"/>
        </w:rPr>
        <w:t xml:space="preserve">. </w:t>
      </w:r>
      <w:r w:rsidRPr="00FD5699">
        <w:rPr>
          <w:lang w:val="en-AU"/>
        </w:rPr>
        <w:t xml:space="preserve">One of the </w:t>
      </w:r>
      <w:r w:rsidR="00177FCF">
        <w:rPr>
          <w:lang w:val="en-AU"/>
        </w:rPr>
        <w:t xml:space="preserve">functions of the </w:t>
      </w:r>
      <w:r w:rsidR="005D3924" w:rsidRPr="00FD5699">
        <w:rPr>
          <w:lang w:val="en-AU"/>
        </w:rPr>
        <w:t>Na</w:t>
      </w:r>
      <w:r w:rsidR="00177FCF">
        <w:rPr>
          <w:lang w:val="en-AU"/>
        </w:rPr>
        <w:t>tional Capital Authority (NCA)</w:t>
      </w:r>
      <w:r w:rsidRPr="00FD5699">
        <w:rPr>
          <w:lang w:val="en-AU"/>
        </w:rPr>
        <w:t xml:space="preserve"> is to keep the Plan under constant review and propose amendments to </w:t>
      </w:r>
      <w:r w:rsidRPr="00796B3C">
        <w:rPr>
          <w:lang w:val="en-AU"/>
        </w:rPr>
        <w:t xml:space="preserve">it when necessary.  </w:t>
      </w:r>
    </w:p>
    <w:p w14:paraId="22F6CC89" w14:textId="4FFD4B46" w:rsidR="003A1CC9" w:rsidRPr="00796B3C" w:rsidRDefault="003A1CC9" w:rsidP="00177FCF">
      <w:pPr>
        <w:rPr>
          <w:lang w:val="en-AU"/>
        </w:rPr>
      </w:pPr>
      <w:r w:rsidRPr="00796B3C">
        <w:rPr>
          <w:lang w:val="en-AU"/>
        </w:rPr>
        <w:t>This report summarises the issues raised during the public consultation process undertaken by the NCA on Draft Amendment</w:t>
      </w:r>
      <w:r w:rsidR="00A905DA" w:rsidRPr="00796B3C">
        <w:rPr>
          <w:lang w:val="en-AU"/>
        </w:rPr>
        <w:t xml:space="preserve"> </w:t>
      </w:r>
      <w:r w:rsidR="00C457E0" w:rsidRPr="00796B3C">
        <w:rPr>
          <w:lang w:val="en-AU"/>
        </w:rPr>
        <w:t>90</w:t>
      </w:r>
      <w:r w:rsidRPr="00796B3C">
        <w:rPr>
          <w:lang w:val="en-AU"/>
        </w:rPr>
        <w:t xml:space="preserve"> – </w:t>
      </w:r>
      <w:r w:rsidR="00C457E0" w:rsidRPr="00796B3C">
        <w:rPr>
          <w:bCs/>
          <w:color w:val="221E1F"/>
          <w:lang w:val="en-AU"/>
        </w:rPr>
        <w:t>Mint Administration Building</w:t>
      </w:r>
      <w:r w:rsidRPr="00796B3C">
        <w:rPr>
          <w:lang w:val="en-AU"/>
        </w:rPr>
        <w:t xml:space="preserve"> </w:t>
      </w:r>
      <w:r w:rsidR="006B11C3" w:rsidRPr="00796B3C">
        <w:rPr>
          <w:lang w:val="en-AU"/>
        </w:rPr>
        <w:t>(DA</w:t>
      </w:r>
      <w:r w:rsidR="00C457E0" w:rsidRPr="00796B3C">
        <w:rPr>
          <w:lang w:val="en-AU"/>
        </w:rPr>
        <w:t>90</w:t>
      </w:r>
      <w:r w:rsidR="00177FCF" w:rsidRPr="00796B3C">
        <w:rPr>
          <w:lang w:val="en-AU"/>
        </w:rPr>
        <w:t xml:space="preserve">) </w:t>
      </w:r>
      <w:r w:rsidRPr="00796B3C">
        <w:rPr>
          <w:lang w:val="en-AU"/>
        </w:rPr>
        <w:t xml:space="preserve">to the Plan. </w:t>
      </w:r>
    </w:p>
    <w:p w14:paraId="71116ACD" w14:textId="2186A620" w:rsidR="00177FCF" w:rsidRDefault="006B11C3" w:rsidP="00177FCF">
      <w:pPr>
        <w:rPr>
          <w:lang w:val="en-AU"/>
        </w:rPr>
      </w:pPr>
      <w:bookmarkStart w:id="5" w:name="OLE_LINK3"/>
      <w:r w:rsidRPr="00796B3C">
        <w:rPr>
          <w:rFonts w:eastAsia="DIN-Regular"/>
        </w:rPr>
        <w:t>DA</w:t>
      </w:r>
      <w:r w:rsidR="00C457E0" w:rsidRPr="00796B3C">
        <w:rPr>
          <w:rFonts w:eastAsia="DIN-Regular"/>
        </w:rPr>
        <w:t>90</w:t>
      </w:r>
      <w:r w:rsidR="00F93FA5">
        <w:rPr>
          <w:rFonts w:eastAsia="DIN-Regular"/>
        </w:rPr>
        <w:t xml:space="preserve"> proposed</w:t>
      </w:r>
      <w:r w:rsidR="00FD5699" w:rsidRPr="00796B3C">
        <w:rPr>
          <w:rFonts w:eastAsia="DIN-Regular"/>
        </w:rPr>
        <w:t xml:space="preserve"> to </w:t>
      </w:r>
      <w:r w:rsidRPr="00796B3C">
        <w:rPr>
          <w:rFonts w:eastAsia="DIN-Regular"/>
        </w:rPr>
        <w:t xml:space="preserve">vary the land use policy for </w:t>
      </w:r>
      <w:r w:rsidR="00C457E0" w:rsidRPr="00796B3C">
        <w:rPr>
          <w:rFonts w:eastAsia="DIN-Regular"/>
        </w:rPr>
        <w:t>the Mint Administration Building</w:t>
      </w:r>
      <w:r w:rsidRPr="00796B3C">
        <w:rPr>
          <w:rFonts w:eastAsia="DIN-Regular"/>
        </w:rPr>
        <w:t xml:space="preserve"> from ‘National Capital Use’</w:t>
      </w:r>
      <w:r w:rsidR="00480F89" w:rsidRPr="00796B3C">
        <w:t xml:space="preserve"> </w:t>
      </w:r>
      <w:r w:rsidR="00796B3C" w:rsidRPr="00796B3C">
        <w:t>to ‘National Capital Use’ and</w:t>
      </w:r>
      <w:r w:rsidRPr="00796B3C">
        <w:t xml:space="preserve"> </w:t>
      </w:r>
      <w:r w:rsidR="00796B3C" w:rsidRPr="00796B3C">
        <w:t xml:space="preserve">‘Mixed Use’ </w:t>
      </w:r>
      <w:r w:rsidRPr="00796B3C">
        <w:t xml:space="preserve">policy allowing for </w:t>
      </w:r>
      <w:r w:rsidR="00796B3C" w:rsidRPr="00796B3C">
        <w:t>consulting rooms (</w:t>
      </w:r>
      <w:r w:rsidR="00796B3C" w:rsidRPr="00796B3C">
        <w:rPr>
          <w:i/>
          <w:lang w:val="en-AU"/>
        </w:rPr>
        <w:t>veterinary services restricted to small/domestic animals only), Health Centre and Office</w:t>
      </w:r>
      <w:r w:rsidRPr="00796B3C">
        <w:t>.</w:t>
      </w:r>
    </w:p>
    <w:p w14:paraId="2AA685E1" w14:textId="1E003108" w:rsidR="003A1CC9" w:rsidRPr="00FD5699" w:rsidRDefault="003A1CC9" w:rsidP="003A1CC9">
      <w:pPr>
        <w:pStyle w:val="Heading1"/>
        <w:numPr>
          <w:ilvl w:val="0"/>
          <w:numId w:val="4"/>
        </w:numPr>
        <w:jc w:val="both"/>
        <w:rPr>
          <w:lang w:val="en-AU"/>
        </w:rPr>
      </w:pPr>
      <w:bookmarkStart w:id="6" w:name="_Toc329685582"/>
      <w:bookmarkStart w:id="7" w:name="_Toc520704158"/>
      <w:bookmarkEnd w:id="5"/>
      <w:r w:rsidRPr="00FD5699">
        <w:rPr>
          <w:lang w:val="en-AU"/>
        </w:rPr>
        <w:t>Consultation</w:t>
      </w:r>
      <w:bookmarkEnd w:id="6"/>
      <w:bookmarkEnd w:id="7"/>
    </w:p>
    <w:p w14:paraId="516ACC9F" w14:textId="1DB2B8C9" w:rsidR="003A1CC9" w:rsidRPr="00FD5699" w:rsidRDefault="00C846D2" w:rsidP="003A1CC9">
      <w:pPr>
        <w:rPr>
          <w:highlight w:val="yellow"/>
          <w:lang w:val="en-AU"/>
        </w:rPr>
      </w:pPr>
      <w:r w:rsidRPr="001357D4">
        <w:rPr>
          <w:lang w:val="en-AU"/>
        </w:rPr>
        <w:t xml:space="preserve">On </w:t>
      </w:r>
      <w:r w:rsidR="00C457E0">
        <w:rPr>
          <w:lang w:val="en-AU"/>
        </w:rPr>
        <w:t>2 June 2018</w:t>
      </w:r>
      <w:r w:rsidR="00915EC1" w:rsidRPr="00FD5699">
        <w:rPr>
          <w:lang w:val="en-AU"/>
        </w:rPr>
        <w:t xml:space="preserve">, </w:t>
      </w:r>
      <w:r w:rsidR="006B11C3">
        <w:rPr>
          <w:lang w:val="en-AU"/>
        </w:rPr>
        <w:t>DA</w:t>
      </w:r>
      <w:r w:rsidR="00C457E0">
        <w:rPr>
          <w:lang w:val="en-AU"/>
        </w:rPr>
        <w:t>90</w:t>
      </w:r>
      <w:r w:rsidR="003A1CC9" w:rsidRPr="00FD5699">
        <w:rPr>
          <w:lang w:val="en-AU"/>
        </w:rPr>
        <w:t xml:space="preserve"> </w:t>
      </w:r>
      <w:r>
        <w:rPr>
          <w:lang w:val="en-AU"/>
        </w:rPr>
        <w:t xml:space="preserve">was </w:t>
      </w:r>
      <w:r w:rsidR="00107BB6" w:rsidRPr="00FD5699">
        <w:rPr>
          <w:lang w:val="en-AU"/>
        </w:rPr>
        <w:t>released for public comment</w:t>
      </w:r>
      <w:r w:rsidR="00672221">
        <w:rPr>
          <w:lang w:val="en-AU"/>
        </w:rPr>
        <w:t>. A public</w:t>
      </w:r>
      <w:r w:rsidR="00107BB6" w:rsidRPr="00FD5699">
        <w:rPr>
          <w:lang w:val="en-AU"/>
        </w:rPr>
        <w:t xml:space="preserve"> </w:t>
      </w:r>
      <w:r w:rsidR="003A1CC9" w:rsidRPr="00FD5699">
        <w:rPr>
          <w:lang w:val="en-AU"/>
        </w:rPr>
        <w:t xml:space="preserve">notice was published in </w:t>
      </w:r>
      <w:r w:rsidR="003A1CC9" w:rsidRPr="00FD5699">
        <w:rPr>
          <w:i/>
          <w:lang w:val="en-AU"/>
        </w:rPr>
        <w:t>The Canberra Times</w:t>
      </w:r>
      <w:r w:rsidR="003A1CC9" w:rsidRPr="00FD5699">
        <w:rPr>
          <w:lang w:val="en-AU"/>
        </w:rPr>
        <w:t xml:space="preserve"> on </w:t>
      </w:r>
      <w:r w:rsidR="00672221">
        <w:rPr>
          <w:lang w:val="en-AU"/>
        </w:rPr>
        <w:t xml:space="preserve">this </w:t>
      </w:r>
      <w:r w:rsidR="00672221" w:rsidRPr="00180EC7">
        <w:rPr>
          <w:lang w:val="en-AU"/>
        </w:rPr>
        <w:t>day</w:t>
      </w:r>
      <w:r w:rsidR="003A1CC9" w:rsidRPr="00180EC7">
        <w:rPr>
          <w:lang w:val="en-AU"/>
        </w:rPr>
        <w:t xml:space="preserve"> (</w:t>
      </w:r>
      <w:r w:rsidR="003A1CC9" w:rsidRPr="00180EC7">
        <w:rPr>
          <w:u w:val="single"/>
          <w:lang w:val="en-AU"/>
        </w:rPr>
        <w:t>Attachment 1</w:t>
      </w:r>
      <w:r w:rsidR="003A1CC9" w:rsidRPr="00180EC7">
        <w:rPr>
          <w:lang w:val="en-AU"/>
        </w:rPr>
        <w:t xml:space="preserve">). </w:t>
      </w:r>
      <w:r w:rsidR="009F6F00" w:rsidRPr="00180EC7">
        <w:rPr>
          <w:lang w:val="en-AU"/>
        </w:rPr>
        <w:t xml:space="preserve">On </w:t>
      </w:r>
      <w:r w:rsidR="00C457E0">
        <w:rPr>
          <w:lang w:val="en-AU"/>
        </w:rPr>
        <w:t>4 June 2018</w:t>
      </w:r>
      <w:r w:rsidR="003A1CC9" w:rsidRPr="00FD5699">
        <w:rPr>
          <w:lang w:val="en-AU"/>
        </w:rPr>
        <w:t xml:space="preserve">, a notice was published in the </w:t>
      </w:r>
      <w:r w:rsidR="0045423A">
        <w:rPr>
          <w:i/>
          <w:lang w:val="en-AU"/>
        </w:rPr>
        <w:t>Government</w:t>
      </w:r>
      <w:r w:rsidR="003A1CC9" w:rsidRPr="00FD5699">
        <w:rPr>
          <w:i/>
          <w:lang w:val="en-AU"/>
        </w:rPr>
        <w:t xml:space="preserve"> Notices </w:t>
      </w:r>
      <w:r w:rsidR="003A1CC9" w:rsidRPr="00656477">
        <w:rPr>
          <w:i/>
          <w:lang w:val="en-AU"/>
        </w:rPr>
        <w:t>Gazette</w:t>
      </w:r>
      <w:r w:rsidR="005D3924" w:rsidRPr="00656477">
        <w:rPr>
          <w:lang w:val="en-AU"/>
        </w:rPr>
        <w:t xml:space="preserve"> </w:t>
      </w:r>
      <w:r w:rsidR="003A1CC9" w:rsidRPr="00656477">
        <w:rPr>
          <w:lang w:val="en-AU"/>
        </w:rPr>
        <w:t>(</w:t>
      </w:r>
      <w:r w:rsidR="003A1CC9" w:rsidRPr="00656477">
        <w:rPr>
          <w:u w:val="single"/>
          <w:lang w:val="en-AU"/>
        </w:rPr>
        <w:t>Attachment 2</w:t>
      </w:r>
      <w:r w:rsidR="003A1CC9" w:rsidRPr="00656477">
        <w:rPr>
          <w:lang w:val="en-AU"/>
        </w:rPr>
        <w:t>).</w:t>
      </w:r>
      <w:r w:rsidR="003A1CC9" w:rsidRPr="00FD5699">
        <w:rPr>
          <w:lang w:val="en-AU"/>
        </w:rPr>
        <w:t xml:space="preserve">  </w:t>
      </w:r>
    </w:p>
    <w:p w14:paraId="0938DF55" w14:textId="5AB73A19" w:rsidR="003A1CC9" w:rsidRPr="00FD5699" w:rsidRDefault="003A1CC9" w:rsidP="003A1CC9">
      <w:pPr>
        <w:rPr>
          <w:lang w:val="en-AU"/>
        </w:rPr>
      </w:pPr>
      <w:r w:rsidRPr="00FD5699">
        <w:rPr>
          <w:lang w:val="en-AU"/>
        </w:rPr>
        <w:t xml:space="preserve">In accordance with the NCA’s </w:t>
      </w:r>
      <w:r w:rsidR="005D3924" w:rsidRPr="00FD5699">
        <w:rPr>
          <w:lang w:val="en-AU"/>
        </w:rPr>
        <w:t>‘</w:t>
      </w:r>
      <w:r w:rsidRPr="00FD5699">
        <w:rPr>
          <w:lang w:val="en-AU"/>
        </w:rPr>
        <w:t>Commitment to C</w:t>
      </w:r>
      <w:r w:rsidR="00672221">
        <w:rPr>
          <w:lang w:val="en-AU"/>
        </w:rPr>
        <w:t>ommunity Engagement (August 2015</w:t>
      </w:r>
      <w:r w:rsidRPr="00FD5699">
        <w:rPr>
          <w:lang w:val="en-AU"/>
        </w:rPr>
        <w:t>)</w:t>
      </w:r>
      <w:r w:rsidR="005D3924" w:rsidRPr="00FD5699">
        <w:rPr>
          <w:lang w:val="en-AU"/>
        </w:rPr>
        <w:t>’</w:t>
      </w:r>
      <w:r w:rsidRPr="00FD5699">
        <w:rPr>
          <w:lang w:val="en-AU"/>
        </w:rPr>
        <w:t xml:space="preserve"> the period for public comment ran for 30 business days, concluding on </w:t>
      </w:r>
      <w:r w:rsidR="00C457E0">
        <w:rPr>
          <w:lang w:val="en-AU"/>
        </w:rPr>
        <w:t>16 July 2018</w:t>
      </w:r>
      <w:r w:rsidRPr="00FD5699">
        <w:rPr>
          <w:lang w:val="en-AU"/>
        </w:rPr>
        <w:t xml:space="preserve">. </w:t>
      </w:r>
      <w:r w:rsidR="006B11C3">
        <w:rPr>
          <w:lang w:val="en-AU"/>
        </w:rPr>
        <w:t>DA</w:t>
      </w:r>
      <w:r w:rsidR="00C457E0">
        <w:rPr>
          <w:lang w:val="en-AU"/>
        </w:rPr>
        <w:t>90</w:t>
      </w:r>
      <w:r w:rsidRPr="00FD5699">
        <w:rPr>
          <w:lang w:val="en-AU"/>
        </w:rPr>
        <w:t xml:space="preserve"> was available on the NCA’s website</w:t>
      </w:r>
      <w:r w:rsidR="00672221">
        <w:rPr>
          <w:lang w:val="en-AU"/>
        </w:rPr>
        <w:t>, and hard copies were available on request</w:t>
      </w:r>
      <w:r w:rsidRPr="00FD5699">
        <w:rPr>
          <w:lang w:val="en-AU"/>
        </w:rPr>
        <w:t>.</w:t>
      </w:r>
    </w:p>
    <w:p w14:paraId="65DC851C" w14:textId="3492C5EE" w:rsidR="003A1CC9" w:rsidRPr="00FD5699" w:rsidRDefault="003A1CC9" w:rsidP="003A1CC9">
      <w:pPr>
        <w:rPr>
          <w:lang w:val="en-AU"/>
        </w:rPr>
      </w:pPr>
      <w:r w:rsidRPr="00FD5699">
        <w:rPr>
          <w:lang w:val="en-AU"/>
        </w:rPr>
        <w:t>Key activities during</w:t>
      </w:r>
      <w:r w:rsidR="00107BB6" w:rsidRPr="00FD5699">
        <w:rPr>
          <w:lang w:val="en-AU"/>
        </w:rPr>
        <w:t xml:space="preserve"> the consultation period </w:t>
      </w:r>
      <w:r w:rsidR="005D3924" w:rsidRPr="00FD5699">
        <w:rPr>
          <w:lang w:val="en-AU"/>
        </w:rPr>
        <w:t xml:space="preserve">for </w:t>
      </w:r>
      <w:r w:rsidR="006B11C3">
        <w:rPr>
          <w:lang w:val="en-AU"/>
        </w:rPr>
        <w:t>DA</w:t>
      </w:r>
      <w:r w:rsidR="00C457E0">
        <w:rPr>
          <w:lang w:val="en-AU"/>
        </w:rPr>
        <w:t>90</w:t>
      </w:r>
      <w:r w:rsidRPr="00FD5699">
        <w:rPr>
          <w:lang w:val="en-AU"/>
        </w:rPr>
        <w:t xml:space="preserve"> included:</w:t>
      </w:r>
    </w:p>
    <w:p w14:paraId="04B4B922" w14:textId="77777777" w:rsidR="007C4E1C" w:rsidRDefault="00796B3C" w:rsidP="007C4E1C">
      <w:pPr>
        <w:pStyle w:val="Heading1"/>
        <w:numPr>
          <w:ilvl w:val="0"/>
          <w:numId w:val="26"/>
        </w:numPr>
        <w:jc w:val="both"/>
        <w:rPr>
          <w:rFonts w:cs="Times New Roman"/>
          <w:b w:val="0"/>
          <w:bCs w:val="0"/>
          <w:kern w:val="0"/>
          <w:sz w:val="22"/>
          <w:szCs w:val="24"/>
          <w:lang w:val="en-AU"/>
        </w:rPr>
      </w:pPr>
      <w:bookmarkStart w:id="8" w:name="_Toc520704159"/>
      <w:bookmarkStart w:id="9" w:name="_Toc329685583"/>
      <w:r w:rsidRPr="00796B3C">
        <w:rPr>
          <w:rFonts w:cs="Times New Roman"/>
          <w:b w:val="0"/>
          <w:bCs w:val="0"/>
          <w:kern w:val="0"/>
          <w:sz w:val="22"/>
          <w:szCs w:val="24"/>
          <w:lang w:val="en-AU"/>
        </w:rPr>
        <w:t xml:space="preserve">On 2 June 2018, the NCA published a public notice in </w:t>
      </w:r>
      <w:r w:rsidRPr="007B7822">
        <w:rPr>
          <w:rFonts w:cs="Times New Roman"/>
          <w:b w:val="0"/>
          <w:bCs w:val="0"/>
          <w:i/>
          <w:kern w:val="0"/>
          <w:sz w:val="22"/>
          <w:szCs w:val="24"/>
          <w:lang w:val="en-AU"/>
        </w:rPr>
        <w:t>The Canberra Times</w:t>
      </w:r>
      <w:bookmarkEnd w:id="8"/>
      <w:r w:rsidR="00276277">
        <w:rPr>
          <w:rFonts w:cs="Times New Roman"/>
          <w:b w:val="0"/>
          <w:bCs w:val="0"/>
          <w:kern w:val="0"/>
          <w:sz w:val="22"/>
          <w:szCs w:val="24"/>
          <w:lang w:val="en-AU"/>
        </w:rPr>
        <w:t>.</w:t>
      </w:r>
    </w:p>
    <w:p w14:paraId="76202806" w14:textId="27305835" w:rsidR="00276277" w:rsidRPr="007C4E1C" w:rsidRDefault="00276277" w:rsidP="007C4E1C">
      <w:pPr>
        <w:pStyle w:val="ListParagraph"/>
        <w:numPr>
          <w:ilvl w:val="0"/>
          <w:numId w:val="26"/>
        </w:numPr>
        <w:rPr>
          <w:lang w:val="en-AU"/>
        </w:rPr>
      </w:pPr>
      <w:r w:rsidRPr="007C4E1C">
        <w:rPr>
          <w:lang w:val="en-AU"/>
        </w:rPr>
        <w:t xml:space="preserve">On 4 June 2018, notice appear in the </w:t>
      </w:r>
      <w:r w:rsidRPr="007C4E1C">
        <w:rPr>
          <w:i/>
          <w:lang w:val="en-AU"/>
        </w:rPr>
        <w:t>Commonwealth Notices Gazette</w:t>
      </w:r>
      <w:r w:rsidRPr="007C4E1C">
        <w:rPr>
          <w:lang w:val="en-AU"/>
        </w:rPr>
        <w:t>.</w:t>
      </w:r>
    </w:p>
    <w:p w14:paraId="2704DEC6" w14:textId="39D01114" w:rsidR="00796B3C" w:rsidRPr="007C4E1C" w:rsidRDefault="00796B3C" w:rsidP="007C4E1C">
      <w:pPr>
        <w:pStyle w:val="ListParagraph"/>
        <w:numPr>
          <w:ilvl w:val="0"/>
          <w:numId w:val="26"/>
        </w:numPr>
        <w:rPr>
          <w:b/>
          <w:bCs/>
          <w:lang w:val="en-AU"/>
        </w:rPr>
      </w:pPr>
      <w:bookmarkStart w:id="10" w:name="_Toc520704160"/>
      <w:r w:rsidRPr="007C4E1C">
        <w:rPr>
          <w:lang w:val="en-AU"/>
        </w:rPr>
        <w:t xml:space="preserve">From 2 June </w:t>
      </w:r>
      <w:r w:rsidR="007B7822" w:rsidRPr="007C4E1C">
        <w:rPr>
          <w:lang w:val="en-AU"/>
        </w:rPr>
        <w:t>to 16</w:t>
      </w:r>
      <w:r w:rsidRPr="007C4E1C">
        <w:rPr>
          <w:lang w:val="en-AU"/>
        </w:rPr>
        <w:t xml:space="preserve"> July 2018, the NCA published the </w:t>
      </w:r>
      <w:r w:rsidR="00276277" w:rsidRPr="007C4E1C">
        <w:rPr>
          <w:lang w:val="en-AU"/>
        </w:rPr>
        <w:t>draft amendment</w:t>
      </w:r>
      <w:r w:rsidRPr="007C4E1C">
        <w:rPr>
          <w:lang w:val="en-AU"/>
        </w:rPr>
        <w:t xml:space="preserve"> on the NCA’s website</w:t>
      </w:r>
      <w:r w:rsidR="007B7822" w:rsidRPr="007C4E1C">
        <w:rPr>
          <w:lang w:val="en-AU"/>
        </w:rPr>
        <w:t>.</w:t>
      </w:r>
      <w:bookmarkEnd w:id="10"/>
    </w:p>
    <w:p w14:paraId="00E31A51" w14:textId="11292754" w:rsidR="00796B3C" w:rsidRPr="007C4E1C" w:rsidRDefault="00796B3C" w:rsidP="007C4E1C">
      <w:pPr>
        <w:pStyle w:val="ListParagraph"/>
        <w:numPr>
          <w:ilvl w:val="0"/>
          <w:numId w:val="26"/>
        </w:numPr>
        <w:rPr>
          <w:b/>
          <w:bCs/>
          <w:lang w:val="en-AU"/>
        </w:rPr>
      </w:pPr>
      <w:bookmarkStart w:id="11" w:name="_Toc520704161"/>
      <w:r w:rsidRPr="007C4E1C">
        <w:rPr>
          <w:lang w:val="en-AU"/>
        </w:rPr>
        <w:t xml:space="preserve">The NCA </w:t>
      </w:r>
      <w:r w:rsidR="00276277" w:rsidRPr="007C4E1C">
        <w:rPr>
          <w:lang w:val="en-AU"/>
        </w:rPr>
        <w:t>wrote</w:t>
      </w:r>
      <w:r w:rsidRPr="007C4E1C">
        <w:rPr>
          <w:lang w:val="en-AU"/>
        </w:rPr>
        <w:t xml:space="preserve"> to key stakeholders and community groups advising of the consultation process and inviting comments</w:t>
      </w:r>
      <w:r w:rsidR="007B7822" w:rsidRPr="007C4E1C">
        <w:rPr>
          <w:lang w:val="en-AU"/>
        </w:rPr>
        <w:t>.</w:t>
      </w:r>
      <w:bookmarkEnd w:id="11"/>
    </w:p>
    <w:p w14:paraId="23753460" w14:textId="50980627" w:rsidR="00796B3C" w:rsidRPr="007C4E1C" w:rsidRDefault="00796B3C" w:rsidP="007C4E1C">
      <w:pPr>
        <w:pStyle w:val="ListParagraph"/>
        <w:numPr>
          <w:ilvl w:val="0"/>
          <w:numId w:val="26"/>
        </w:numPr>
        <w:rPr>
          <w:b/>
          <w:bCs/>
          <w:lang w:val="en-AU"/>
        </w:rPr>
      </w:pPr>
      <w:bookmarkStart w:id="12" w:name="_Toc520704162"/>
      <w:r w:rsidRPr="007C4E1C">
        <w:rPr>
          <w:lang w:val="en-AU"/>
        </w:rPr>
        <w:t xml:space="preserve">On 20 June 2018 </w:t>
      </w:r>
      <w:r w:rsidR="007B7822" w:rsidRPr="007C4E1C">
        <w:rPr>
          <w:lang w:val="en-AU"/>
        </w:rPr>
        <w:t>NCA held an information session.</w:t>
      </w:r>
      <w:bookmarkEnd w:id="12"/>
      <w:r w:rsidR="00276277" w:rsidRPr="007C4E1C">
        <w:rPr>
          <w:lang w:val="en-AU"/>
        </w:rPr>
        <w:t xml:space="preserve"> No members of the public attended.</w:t>
      </w:r>
    </w:p>
    <w:p w14:paraId="515BE06A" w14:textId="77777777" w:rsidR="003A1CC9" w:rsidRPr="00FD5699" w:rsidRDefault="003A1CC9" w:rsidP="003A1CC9">
      <w:pPr>
        <w:pStyle w:val="Heading1"/>
        <w:numPr>
          <w:ilvl w:val="0"/>
          <w:numId w:val="4"/>
        </w:numPr>
        <w:jc w:val="both"/>
        <w:rPr>
          <w:lang w:val="en-AU"/>
        </w:rPr>
      </w:pPr>
      <w:bookmarkStart w:id="13" w:name="_Toc520704163"/>
      <w:r w:rsidRPr="00FD5699">
        <w:rPr>
          <w:lang w:val="en-AU"/>
        </w:rPr>
        <w:t>Key issue</w:t>
      </w:r>
      <w:bookmarkEnd w:id="9"/>
      <w:r w:rsidR="00A66914">
        <w:rPr>
          <w:lang w:val="en-AU"/>
        </w:rPr>
        <w:t>s</w:t>
      </w:r>
      <w:bookmarkEnd w:id="13"/>
    </w:p>
    <w:p w14:paraId="4CBD2DF4" w14:textId="70AFF648" w:rsidR="00DE427E" w:rsidRDefault="00190726" w:rsidP="007D7E6D">
      <w:pPr>
        <w:rPr>
          <w:lang w:val="en-AU"/>
        </w:rPr>
      </w:pPr>
      <w:r w:rsidRPr="00FD5699">
        <w:rPr>
          <w:lang w:val="en-AU"/>
        </w:rPr>
        <w:t>The NCA received</w:t>
      </w:r>
      <w:r w:rsidR="00672221">
        <w:rPr>
          <w:lang w:val="en-AU"/>
        </w:rPr>
        <w:t xml:space="preserve"> </w:t>
      </w:r>
      <w:bookmarkStart w:id="14" w:name="_Toc329685587"/>
      <w:r w:rsidR="00796B3C">
        <w:rPr>
          <w:lang w:val="en-AU"/>
        </w:rPr>
        <w:t>three</w:t>
      </w:r>
      <w:r w:rsidR="007D7E6D">
        <w:rPr>
          <w:lang w:val="en-AU"/>
        </w:rPr>
        <w:t xml:space="preserve"> written submissions in response to DA</w:t>
      </w:r>
      <w:r w:rsidR="00C457E0">
        <w:rPr>
          <w:lang w:val="en-AU"/>
        </w:rPr>
        <w:t>90</w:t>
      </w:r>
      <w:r w:rsidR="007D7E6D">
        <w:rPr>
          <w:lang w:val="en-AU"/>
        </w:rPr>
        <w:t xml:space="preserve">. The key issues raised in submissions are identified below. Full details of submissions are available in </w:t>
      </w:r>
      <w:r w:rsidR="007D7E6D">
        <w:rPr>
          <w:u w:val="single"/>
          <w:lang w:val="en-AU"/>
        </w:rPr>
        <w:t>Attachment 3</w:t>
      </w:r>
      <w:r w:rsidR="007D7E6D">
        <w:rPr>
          <w:lang w:val="en-AU"/>
        </w:rPr>
        <w:t>.</w:t>
      </w:r>
    </w:p>
    <w:p w14:paraId="1098D59E" w14:textId="45594BC9" w:rsidR="007D7E6D" w:rsidRPr="006D479F" w:rsidRDefault="00F36BF7" w:rsidP="007D7E6D">
      <w:pPr>
        <w:pStyle w:val="Heading2"/>
        <w:numPr>
          <w:ilvl w:val="1"/>
          <w:numId w:val="4"/>
        </w:numPr>
        <w:rPr>
          <w:lang w:val="en-AU"/>
        </w:rPr>
      </w:pPr>
      <w:bookmarkStart w:id="15" w:name="_Toc520704164"/>
      <w:r w:rsidRPr="006D479F">
        <w:rPr>
          <w:lang w:val="en-AU"/>
        </w:rPr>
        <w:t>Heritage</w:t>
      </w:r>
      <w:bookmarkEnd w:id="15"/>
      <w:r w:rsidRPr="006D479F">
        <w:rPr>
          <w:lang w:val="en-AU"/>
        </w:rPr>
        <w:t xml:space="preserve"> </w:t>
      </w:r>
    </w:p>
    <w:p w14:paraId="5247B80F" w14:textId="77777777" w:rsidR="007D7E6D" w:rsidRPr="006D479F" w:rsidRDefault="007D7E6D" w:rsidP="007D7E6D">
      <w:pPr>
        <w:rPr>
          <w:b/>
          <w:i/>
          <w:lang w:val="en-AU"/>
        </w:rPr>
      </w:pPr>
      <w:r w:rsidRPr="006D479F">
        <w:rPr>
          <w:b/>
          <w:i/>
          <w:lang w:val="en-AU"/>
        </w:rPr>
        <w:t>Comments</w:t>
      </w:r>
    </w:p>
    <w:p w14:paraId="7F515DA2" w14:textId="1104F621" w:rsidR="007C4E1C" w:rsidRDefault="0046456D" w:rsidP="00B04AF2">
      <w:pPr>
        <w:rPr>
          <w:rFonts w:cs="Calibri"/>
          <w:szCs w:val="22"/>
        </w:rPr>
      </w:pPr>
      <w:r>
        <w:rPr>
          <w:rFonts w:cs="Calibri"/>
          <w:szCs w:val="22"/>
        </w:rPr>
        <w:t>Three</w:t>
      </w:r>
      <w:r w:rsidR="000B1CBD" w:rsidRPr="006D479F">
        <w:rPr>
          <w:rFonts w:cs="Calibri"/>
          <w:szCs w:val="22"/>
        </w:rPr>
        <w:t xml:space="preserve"> submitters raised </w:t>
      </w:r>
      <w:r w:rsidR="00816D6E">
        <w:rPr>
          <w:rFonts w:cs="Calibri"/>
          <w:szCs w:val="22"/>
        </w:rPr>
        <w:t>issues</w:t>
      </w:r>
      <w:r>
        <w:rPr>
          <w:rFonts w:cs="Calibri"/>
          <w:szCs w:val="22"/>
        </w:rPr>
        <w:t xml:space="preserve"> and</w:t>
      </w:r>
      <w:r w:rsidR="007C4E1C">
        <w:rPr>
          <w:rFonts w:cs="Calibri"/>
          <w:szCs w:val="22"/>
        </w:rPr>
        <w:t>/or</w:t>
      </w:r>
      <w:r>
        <w:rPr>
          <w:rFonts w:cs="Calibri"/>
          <w:szCs w:val="22"/>
        </w:rPr>
        <w:t xml:space="preserve"> </w:t>
      </w:r>
      <w:r w:rsidR="00816D6E">
        <w:rPr>
          <w:rFonts w:cs="Calibri"/>
          <w:szCs w:val="22"/>
        </w:rPr>
        <w:t xml:space="preserve">expressed </w:t>
      </w:r>
      <w:r>
        <w:rPr>
          <w:rFonts w:cs="Calibri"/>
          <w:szCs w:val="22"/>
        </w:rPr>
        <w:t>interest</w:t>
      </w:r>
      <w:r w:rsidR="000B1CBD" w:rsidRPr="006D479F">
        <w:rPr>
          <w:rFonts w:cs="Calibri"/>
          <w:szCs w:val="22"/>
        </w:rPr>
        <w:t xml:space="preserve"> </w:t>
      </w:r>
      <w:r w:rsidR="007C4E1C">
        <w:rPr>
          <w:rFonts w:cs="Calibri"/>
          <w:szCs w:val="22"/>
        </w:rPr>
        <w:t>in relation to</w:t>
      </w:r>
      <w:r w:rsidR="000B1CBD" w:rsidRPr="006D479F">
        <w:rPr>
          <w:rFonts w:cs="Calibri"/>
          <w:szCs w:val="22"/>
        </w:rPr>
        <w:t xml:space="preserve"> the </w:t>
      </w:r>
      <w:r w:rsidR="006D479F" w:rsidRPr="006D479F">
        <w:rPr>
          <w:rFonts w:cs="Calibri"/>
          <w:szCs w:val="22"/>
        </w:rPr>
        <w:t>ongoing</w:t>
      </w:r>
      <w:r w:rsidR="000B1CBD" w:rsidRPr="006D479F">
        <w:rPr>
          <w:rFonts w:cs="Calibri"/>
          <w:szCs w:val="22"/>
        </w:rPr>
        <w:t xml:space="preserve"> </w:t>
      </w:r>
      <w:r w:rsidR="006D479F">
        <w:rPr>
          <w:rFonts w:cs="Calibri"/>
          <w:szCs w:val="22"/>
        </w:rPr>
        <w:t xml:space="preserve">heritage management of the </w:t>
      </w:r>
      <w:r w:rsidR="00A13494">
        <w:rPr>
          <w:rFonts w:cs="Calibri"/>
          <w:szCs w:val="22"/>
        </w:rPr>
        <w:t>Mint Administration B</w:t>
      </w:r>
      <w:r w:rsidR="006D479F">
        <w:rPr>
          <w:rFonts w:cs="Calibri"/>
          <w:szCs w:val="22"/>
        </w:rPr>
        <w:t>uilding</w:t>
      </w:r>
      <w:r w:rsidR="00A13494">
        <w:rPr>
          <w:rFonts w:cs="Calibri"/>
          <w:szCs w:val="22"/>
        </w:rPr>
        <w:t>.</w:t>
      </w:r>
      <w:r w:rsidR="007C4E1C">
        <w:rPr>
          <w:rFonts w:cs="Calibri"/>
          <w:szCs w:val="22"/>
        </w:rPr>
        <w:t xml:space="preserve"> In general, support was expressed for the preparation of the Heritage Management Plan (HMP). The following more particular matters were raised:</w:t>
      </w:r>
    </w:p>
    <w:p w14:paraId="63BBF0C1" w14:textId="2EC2EBCA" w:rsidR="000B1CBD" w:rsidRDefault="00A13494" w:rsidP="007C4E1C">
      <w:pPr>
        <w:pStyle w:val="ListParagraph"/>
        <w:numPr>
          <w:ilvl w:val="0"/>
          <w:numId w:val="27"/>
        </w:numPr>
      </w:pPr>
      <w:r w:rsidRPr="007C4E1C">
        <w:lastRenderedPageBreak/>
        <w:t xml:space="preserve">the </w:t>
      </w:r>
      <w:r w:rsidR="007573DE" w:rsidRPr="007C4E1C">
        <w:t>heritage M</w:t>
      </w:r>
      <w:r w:rsidRPr="007C4E1C">
        <w:t>a</w:t>
      </w:r>
      <w:r w:rsidR="007573DE" w:rsidRPr="007C4E1C">
        <w:t>nagement P</w:t>
      </w:r>
      <w:r w:rsidR="00816D6E" w:rsidRPr="007C4E1C">
        <w:t>lan</w:t>
      </w:r>
      <w:r w:rsidR="007573DE" w:rsidRPr="007C4E1C">
        <w:t xml:space="preserve"> (HMP)</w:t>
      </w:r>
      <w:r w:rsidR="00816D6E" w:rsidRPr="007C4E1C">
        <w:t xml:space="preserve"> </w:t>
      </w:r>
      <w:r w:rsidR="007C4E1C">
        <w:t xml:space="preserve">should be </w:t>
      </w:r>
      <w:r w:rsidR="00816D6E" w:rsidRPr="007C4E1C">
        <w:t>updated every five</w:t>
      </w:r>
      <w:r w:rsidR="007C4E1C">
        <w:t xml:space="preserve"> years and </w:t>
      </w:r>
      <w:r w:rsidRPr="007C4E1C">
        <w:t xml:space="preserve">endorsed by the Department of Environment </w:t>
      </w:r>
      <w:r w:rsidR="007C4E1C">
        <w:t>and Energy</w:t>
      </w:r>
    </w:p>
    <w:p w14:paraId="7A6B37F4" w14:textId="1E248CA4" w:rsidR="007C4E1C" w:rsidRDefault="00A96405" w:rsidP="00A96405">
      <w:pPr>
        <w:pStyle w:val="ListParagraph"/>
        <w:numPr>
          <w:ilvl w:val="0"/>
          <w:numId w:val="27"/>
        </w:numPr>
      </w:pPr>
      <w:r>
        <w:t xml:space="preserve">concern was raised about the potential changes to how the building is viewed from </w:t>
      </w:r>
      <w:proofErr w:type="spellStart"/>
      <w:r>
        <w:t>Yarra</w:t>
      </w:r>
      <w:proofErr w:type="spellEnd"/>
      <w:r>
        <w:t xml:space="preserve"> Glen. One submitter suggested that the current HMP is weak and would like to see a review of the HMP prior to sale.</w:t>
      </w:r>
    </w:p>
    <w:p w14:paraId="7B343E66" w14:textId="77777777" w:rsidR="00A96405" w:rsidRPr="007C4E1C" w:rsidRDefault="00A96405" w:rsidP="00A96405">
      <w:pPr>
        <w:pStyle w:val="ListParagraph"/>
      </w:pPr>
    </w:p>
    <w:p w14:paraId="19281CD1" w14:textId="77777777" w:rsidR="007D7E6D" w:rsidRPr="003D269E" w:rsidRDefault="007D7E6D" w:rsidP="007D7E6D">
      <w:pPr>
        <w:rPr>
          <w:b/>
          <w:i/>
          <w:lang w:val="en-AU"/>
        </w:rPr>
      </w:pPr>
      <w:r w:rsidRPr="003D269E">
        <w:rPr>
          <w:b/>
          <w:i/>
          <w:lang w:val="en-AU"/>
        </w:rPr>
        <w:t>NCA response</w:t>
      </w:r>
    </w:p>
    <w:p w14:paraId="32E64376" w14:textId="77775923" w:rsidR="00B47C82" w:rsidRPr="003D269E" w:rsidRDefault="00B47C82" w:rsidP="007D7E6D">
      <w:pPr>
        <w:rPr>
          <w:lang w:val="en-AU"/>
        </w:rPr>
      </w:pPr>
      <w:r w:rsidRPr="003D269E">
        <w:rPr>
          <w:lang w:val="en-AU"/>
        </w:rPr>
        <w:t xml:space="preserve">The Plan does not operate in isolation. There are other Commonwealth </w:t>
      </w:r>
      <w:r w:rsidR="00553BCC" w:rsidRPr="003D269E">
        <w:rPr>
          <w:lang w:val="en-AU"/>
        </w:rPr>
        <w:t>heritage</w:t>
      </w:r>
      <w:r w:rsidRPr="003D269E">
        <w:rPr>
          <w:lang w:val="en-AU"/>
        </w:rPr>
        <w:t xml:space="preserve"> protections in place, including through the </w:t>
      </w:r>
      <w:r w:rsidR="00DF33A2" w:rsidRPr="00DF33A2">
        <w:rPr>
          <w:i/>
          <w:lang w:val="en-AU"/>
        </w:rPr>
        <w:t>Environment Protection and Biodiversity Conservation Act 1999</w:t>
      </w:r>
      <w:r w:rsidR="00DF33A2">
        <w:rPr>
          <w:i/>
          <w:lang w:val="en-AU"/>
        </w:rPr>
        <w:t>.</w:t>
      </w:r>
    </w:p>
    <w:p w14:paraId="6CF705A3" w14:textId="5D0E33FA" w:rsidR="00553BCC" w:rsidRPr="003D269E" w:rsidRDefault="007573DE" w:rsidP="007D7E6D">
      <w:pPr>
        <w:rPr>
          <w:lang w:val="en-AU"/>
        </w:rPr>
      </w:pPr>
      <w:r>
        <w:rPr>
          <w:lang w:val="en-AU"/>
        </w:rPr>
        <w:t>T</w:t>
      </w:r>
      <w:r w:rsidR="00553BCC" w:rsidRPr="003D269E">
        <w:rPr>
          <w:lang w:val="en-AU"/>
        </w:rPr>
        <w:t xml:space="preserve">he </w:t>
      </w:r>
      <w:r w:rsidR="00DF33A2">
        <w:rPr>
          <w:lang w:val="en-AU"/>
        </w:rPr>
        <w:t>draft Crown L</w:t>
      </w:r>
      <w:r w:rsidR="00553BCC" w:rsidRPr="003D269E">
        <w:rPr>
          <w:lang w:val="en-AU"/>
        </w:rPr>
        <w:t>ease</w:t>
      </w:r>
      <w:r w:rsidR="00DA5E07">
        <w:rPr>
          <w:lang w:val="en-AU"/>
        </w:rPr>
        <w:t xml:space="preserve"> for the Mint Administration Building</w:t>
      </w:r>
      <w:r w:rsidR="00553BCC" w:rsidRPr="003D269E">
        <w:rPr>
          <w:lang w:val="en-AU"/>
        </w:rPr>
        <w:t xml:space="preserve"> </w:t>
      </w:r>
      <w:r>
        <w:rPr>
          <w:lang w:val="en-AU"/>
        </w:rPr>
        <w:t xml:space="preserve">also </w:t>
      </w:r>
      <w:r w:rsidR="00553BCC" w:rsidRPr="003D269E">
        <w:rPr>
          <w:lang w:val="en-AU"/>
        </w:rPr>
        <w:t xml:space="preserve">addresses heritage </w:t>
      </w:r>
      <w:r>
        <w:rPr>
          <w:lang w:val="en-AU"/>
        </w:rPr>
        <w:t>matters</w:t>
      </w:r>
      <w:r w:rsidR="00553BCC" w:rsidRPr="003D269E">
        <w:rPr>
          <w:lang w:val="en-AU"/>
        </w:rPr>
        <w:t xml:space="preserve">. </w:t>
      </w:r>
      <w:r>
        <w:t>The draft Crown Lease</w:t>
      </w:r>
      <w:r w:rsidR="00DA5E07" w:rsidRPr="00DA5E07">
        <w:t xml:space="preserve"> include</w:t>
      </w:r>
      <w:r>
        <w:t>s</w:t>
      </w:r>
      <w:r w:rsidR="00DA5E07" w:rsidRPr="00DA5E07">
        <w:t xml:space="preserve"> the requirement </w:t>
      </w:r>
      <w:r w:rsidR="00CB0AE9">
        <w:t xml:space="preserve">for the Lessee to provide to the Department of the Environment and Energy </w:t>
      </w:r>
      <w:r w:rsidR="00DA5E07" w:rsidRPr="00DA5E07">
        <w:t>a review of the HMP within the first 12 months of the Lease and every five years thereafter</w:t>
      </w:r>
      <w:r>
        <w:t xml:space="preserve"> and that the review, including any updates to the HMP, be </w:t>
      </w:r>
      <w:r w:rsidR="00CB0AE9">
        <w:t>to the satisfaction of the Department of the Environment and Energy. The Lessee is required to not contravene the HMP and is to occupy, use and manage the place to protect and conserve its heritage value.</w:t>
      </w:r>
    </w:p>
    <w:p w14:paraId="6E2D1164" w14:textId="4886F722" w:rsidR="00074C71" w:rsidRPr="003D269E" w:rsidRDefault="00F36BF7" w:rsidP="009C0765">
      <w:pPr>
        <w:pStyle w:val="Heading2"/>
        <w:numPr>
          <w:ilvl w:val="1"/>
          <w:numId w:val="4"/>
        </w:numPr>
        <w:rPr>
          <w:lang w:val="en-AU"/>
        </w:rPr>
      </w:pPr>
      <w:bookmarkStart w:id="16" w:name="_Toc520704165"/>
      <w:r w:rsidRPr="003D269E">
        <w:rPr>
          <w:lang w:val="en-AU"/>
        </w:rPr>
        <w:t>Land Use</w:t>
      </w:r>
      <w:bookmarkEnd w:id="16"/>
      <w:r w:rsidRPr="003D269E">
        <w:rPr>
          <w:lang w:val="en-AU"/>
        </w:rPr>
        <w:t xml:space="preserve"> </w:t>
      </w:r>
    </w:p>
    <w:p w14:paraId="52012B7A" w14:textId="77777777" w:rsidR="009C0765" w:rsidRPr="003D269E" w:rsidRDefault="009C0765" w:rsidP="009C0765">
      <w:pPr>
        <w:rPr>
          <w:b/>
          <w:i/>
          <w:lang w:val="en-AU"/>
        </w:rPr>
      </w:pPr>
      <w:r w:rsidRPr="003D269E">
        <w:rPr>
          <w:b/>
          <w:i/>
          <w:lang w:val="en-AU"/>
        </w:rPr>
        <w:t>Comments</w:t>
      </w:r>
    </w:p>
    <w:p w14:paraId="18B5DEA3" w14:textId="37C35848" w:rsidR="003D269E" w:rsidRPr="003D269E" w:rsidRDefault="009C0765" w:rsidP="009C0765">
      <w:pPr>
        <w:rPr>
          <w:lang w:val="en-AU"/>
        </w:rPr>
      </w:pPr>
      <w:r w:rsidRPr="003D269E">
        <w:rPr>
          <w:lang w:val="en-AU"/>
        </w:rPr>
        <w:t>One submitter stated that they did not support the r</w:t>
      </w:r>
      <w:r w:rsidR="003D269E" w:rsidRPr="003D269E">
        <w:rPr>
          <w:lang w:val="en-AU"/>
        </w:rPr>
        <w:t xml:space="preserve">emoval of the </w:t>
      </w:r>
      <w:r w:rsidR="003D269E" w:rsidRPr="003D269E">
        <w:rPr>
          <w:i/>
          <w:lang w:val="en-AU"/>
        </w:rPr>
        <w:t>National Capital Use</w:t>
      </w:r>
      <w:r w:rsidR="00E436BB">
        <w:rPr>
          <w:i/>
          <w:lang w:val="en-AU"/>
        </w:rPr>
        <w:t xml:space="preserve"> </w:t>
      </w:r>
      <w:r w:rsidR="00E436BB">
        <w:rPr>
          <w:lang w:val="en-AU"/>
        </w:rPr>
        <w:t>land use policy for the site</w:t>
      </w:r>
      <w:r w:rsidR="003D269E" w:rsidRPr="003D269E">
        <w:rPr>
          <w:lang w:val="en-AU"/>
        </w:rPr>
        <w:t>.</w:t>
      </w:r>
      <w:r w:rsidR="003D269E" w:rsidRPr="003D269E">
        <w:rPr>
          <w:i/>
          <w:lang w:val="en-AU"/>
        </w:rPr>
        <w:t xml:space="preserve"> </w:t>
      </w:r>
      <w:r w:rsidR="003D269E" w:rsidRPr="003D269E">
        <w:rPr>
          <w:lang w:val="en-AU"/>
        </w:rPr>
        <w:t>The submitt</w:t>
      </w:r>
      <w:r w:rsidR="00E436BB">
        <w:rPr>
          <w:lang w:val="en-AU"/>
        </w:rPr>
        <w:t>er requested that the site</w:t>
      </w:r>
      <w:r w:rsidR="003D269E" w:rsidRPr="003D269E">
        <w:rPr>
          <w:lang w:val="en-AU"/>
        </w:rPr>
        <w:t xml:space="preserve"> be</w:t>
      </w:r>
      <w:r w:rsidR="00E436BB">
        <w:rPr>
          <w:lang w:val="en-AU"/>
        </w:rPr>
        <w:t xml:space="preserve"> identified as</w:t>
      </w:r>
      <w:r w:rsidR="003D269E" w:rsidRPr="003D269E">
        <w:rPr>
          <w:lang w:val="en-AU"/>
        </w:rPr>
        <w:t xml:space="preserve"> both </w:t>
      </w:r>
      <w:r w:rsidR="003D269E" w:rsidRPr="003D269E">
        <w:rPr>
          <w:i/>
          <w:lang w:val="en-AU"/>
        </w:rPr>
        <w:t xml:space="preserve">National Capital Use </w:t>
      </w:r>
      <w:r w:rsidR="00E436BB">
        <w:rPr>
          <w:lang w:val="en-AU"/>
        </w:rPr>
        <w:t>in addition to the other proposed uses</w:t>
      </w:r>
      <w:r w:rsidR="003D269E" w:rsidRPr="003D269E">
        <w:rPr>
          <w:lang w:val="en-AU"/>
        </w:rPr>
        <w:t xml:space="preserve"> to ensure that </w:t>
      </w:r>
      <w:r w:rsidR="00816D6E">
        <w:rPr>
          <w:lang w:val="en-AU"/>
        </w:rPr>
        <w:t>the Department of Industry, Innovation and Science (</w:t>
      </w:r>
      <w:r w:rsidR="003D269E" w:rsidRPr="003D269E">
        <w:rPr>
          <w:lang w:val="en-AU"/>
        </w:rPr>
        <w:t>DIIS</w:t>
      </w:r>
      <w:r w:rsidR="00816D6E">
        <w:rPr>
          <w:lang w:val="en-AU"/>
        </w:rPr>
        <w:t>)</w:t>
      </w:r>
      <w:r w:rsidR="003D269E" w:rsidRPr="003D269E">
        <w:rPr>
          <w:lang w:val="en-AU"/>
        </w:rPr>
        <w:t xml:space="preserve"> can continue to use the site. </w:t>
      </w:r>
    </w:p>
    <w:p w14:paraId="6C0931AE" w14:textId="77777777" w:rsidR="009C0765" w:rsidRPr="00E06AC7" w:rsidRDefault="009C0765" w:rsidP="009C0765">
      <w:pPr>
        <w:rPr>
          <w:b/>
          <w:i/>
          <w:lang w:val="en-AU"/>
        </w:rPr>
      </w:pPr>
      <w:r w:rsidRPr="00E06AC7">
        <w:rPr>
          <w:b/>
          <w:i/>
          <w:lang w:val="en-AU"/>
        </w:rPr>
        <w:t>NCA response</w:t>
      </w:r>
    </w:p>
    <w:p w14:paraId="37C3DA6B" w14:textId="30EBAAC7" w:rsidR="009C0765" w:rsidRPr="00DA5E07" w:rsidRDefault="00816D6E" w:rsidP="00DA5E07">
      <w:pPr>
        <w:rPr>
          <w:rFonts w:cs="Calibri"/>
          <w:b/>
          <w:i/>
          <w:szCs w:val="22"/>
          <w:lang w:val="en-AU"/>
        </w:rPr>
      </w:pPr>
      <w:r>
        <w:rPr>
          <w:rFonts w:cs="Calibri"/>
          <w:szCs w:val="22"/>
        </w:rPr>
        <w:t xml:space="preserve">The </w:t>
      </w:r>
      <w:r w:rsidR="00E436BB">
        <w:rPr>
          <w:rFonts w:cs="Calibri"/>
          <w:szCs w:val="22"/>
        </w:rPr>
        <w:t>proposed amendment will be varied to include National Capital Use, in addition to Consulting Rooms, Health Centre, and Office as permitted uses on the site.</w:t>
      </w:r>
      <w:r w:rsidR="00CE2080" w:rsidRPr="00DA5E07">
        <w:rPr>
          <w:rFonts w:cs="Calibri"/>
          <w:szCs w:val="22"/>
        </w:rPr>
        <w:t xml:space="preserve"> </w:t>
      </w:r>
      <w:r w:rsidR="00DA5E07" w:rsidRPr="00DA5E07">
        <w:rPr>
          <w:rFonts w:cs="Calibri"/>
          <w:szCs w:val="22"/>
        </w:rPr>
        <w:t xml:space="preserve">This is consistent </w:t>
      </w:r>
      <w:r w:rsidR="006F4813">
        <w:rPr>
          <w:rFonts w:cs="Calibri"/>
          <w:szCs w:val="22"/>
        </w:rPr>
        <w:t>with t</w:t>
      </w:r>
      <w:r w:rsidR="00DA5E07">
        <w:rPr>
          <w:rFonts w:cs="Calibri"/>
          <w:szCs w:val="22"/>
        </w:rPr>
        <w:t>he draft Crown L</w:t>
      </w:r>
      <w:r w:rsidR="00DA5E07" w:rsidRPr="00DA5E07">
        <w:rPr>
          <w:rFonts w:cs="Calibri"/>
          <w:szCs w:val="22"/>
        </w:rPr>
        <w:t xml:space="preserve">ease </w:t>
      </w:r>
      <w:r w:rsidR="006F4813">
        <w:rPr>
          <w:rFonts w:cs="Calibri"/>
          <w:szCs w:val="22"/>
        </w:rPr>
        <w:t>that has been prepared</w:t>
      </w:r>
      <w:r w:rsidR="00DA5E07" w:rsidRPr="00DA5E07">
        <w:rPr>
          <w:rFonts w:cs="Calibri"/>
          <w:szCs w:val="22"/>
        </w:rPr>
        <w:t xml:space="preserve"> by the Department of Finance.</w:t>
      </w:r>
      <w:r w:rsidR="00131CAA">
        <w:rPr>
          <w:rFonts w:cs="Calibri"/>
          <w:szCs w:val="22"/>
        </w:rPr>
        <w:t xml:space="preserve"> </w:t>
      </w:r>
    </w:p>
    <w:p w14:paraId="6F9F1E99" w14:textId="77777777" w:rsidR="003A1CC9" w:rsidRPr="006D479F" w:rsidRDefault="003A1CC9" w:rsidP="003A1CC9">
      <w:pPr>
        <w:pStyle w:val="Heading1"/>
        <w:numPr>
          <w:ilvl w:val="0"/>
          <w:numId w:val="4"/>
        </w:numPr>
        <w:jc w:val="both"/>
        <w:rPr>
          <w:lang w:val="en-AU"/>
        </w:rPr>
      </w:pPr>
      <w:bookmarkStart w:id="17" w:name="_Toc520704166"/>
      <w:r w:rsidRPr="006D479F">
        <w:rPr>
          <w:lang w:val="en-AU"/>
        </w:rPr>
        <w:t>Recommended changes</w:t>
      </w:r>
      <w:bookmarkEnd w:id="14"/>
      <w:bookmarkEnd w:id="17"/>
    </w:p>
    <w:p w14:paraId="4665CAB8" w14:textId="7B847B25" w:rsidR="003A1CC9" w:rsidRPr="00FD5699" w:rsidRDefault="00B655F1" w:rsidP="003A1CC9">
      <w:pPr>
        <w:rPr>
          <w:lang w:val="en-AU"/>
        </w:rPr>
      </w:pPr>
      <w:r w:rsidRPr="00816D6E">
        <w:rPr>
          <w:lang w:val="en-AU"/>
        </w:rPr>
        <w:t>DA</w:t>
      </w:r>
      <w:r w:rsidR="00C457E0" w:rsidRPr="00816D6E">
        <w:rPr>
          <w:lang w:val="en-AU"/>
        </w:rPr>
        <w:t>90</w:t>
      </w:r>
      <w:r w:rsidR="00A26801" w:rsidRPr="00816D6E">
        <w:rPr>
          <w:lang w:val="en-AU"/>
        </w:rPr>
        <w:t xml:space="preserve"> will be amended to </w:t>
      </w:r>
      <w:r w:rsidR="00E436BB">
        <w:rPr>
          <w:lang w:val="en-AU"/>
        </w:rPr>
        <w:t>remove</w:t>
      </w:r>
      <w:r w:rsidR="00131CAA">
        <w:rPr>
          <w:lang w:val="en-AU"/>
        </w:rPr>
        <w:t xml:space="preserve"> any ambiguity </w:t>
      </w:r>
      <w:r w:rsidR="00E436BB">
        <w:rPr>
          <w:lang w:val="en-AU"/>
        </w:rPr>
        <w:t xml:space="preserve">regarding land use, </w:t>
      </w:r>
      <w:r w:rsidR="00131CAA">
        <w:rPr>
          <w:lang w:val="en-AU"/>
        </w:rPr>
        <w:t xml:space="preserve">and </w:t>
      </w:r>
      <w:r w:rsidR="00E436BB">
        <w:rPr>
          <w:lang w:val="en-AU"/>
        </w:rPr>
        <w:t>clarify</w:t>
      </w:r>
      <w:r w:rsidR="00711B04" w:rsidRPr="00816D6E">
        <w:rPr>
          <w:lang w:val="en-AU"/>
        </w:rPr>
        <w:t xml:space="preserve"> that </w:t>
      </w:r>
      <w:r w:rsidR="00E436BB">
        <w:rPr>
          <w:lang w:val="en-AU"/>
        </w:rPr>
        <w:t>permitted used on site includes</w:t>
      </w:r>
      <w:r w:rsidR="00711B04" w:rsidRPr="00816D6E">
        <w:rPr>
          <w:lang w:val="en-AU"/>
        </w:rPr>
        <w:t xml:space="preserve"> </w:t>
      </w:r>
      <w:r w:rsidR="00711B04" w:rsidRPr="00816D6E">
        <w:rPr>
          <w:i/>
          <w:lang w:val="en-AU"/>
        </w:rPr>
        <w:t>National Capital Use</w:t>
      </w:r>
      <w:bookmarkStart w:id="18" w:name="_Toc329685588"/>
      <w:r w:rsidR="00E436BB">
        <w:rPr>
          <w:lang w:val="en-AU"/>
        </w:rPr>
        <w:t>, in addition to Consulting Rooms, Health Centre, and Office</w:t>
      </w:r>
      <w:r w:rsidR="003A1CC9" w:rsidRPr="00816D6E">
        <w:rPr>
          <w:lang w:val="en-AU"/>
        </w:rPr>
        <w:t>.</w:t>
      </w:r>
      <w:r w:rsidR="00DF33A2">
        <w:rPr>
          <w:lang w:val="en-AU"/>
        </w:rPr>
        <w:t xml:space="preserve"> </w:t>
      </w:r>
    </w:p>
    <w:p w14:paraId="4A1EC77D" w14:textId="77777777" w:rsidR="003A1CC9" w:rsidRPr="00FD5699" w:rsidRDefault="003A1CC9" w:rsidP="003A1CC9">
      <w:pPr>
        <w:pStyle w:val="Heading1"/>
        <w:numPr>
          <w:ilvl w:val="0"/>
          <w:numId w:val="4"/>
        </w:numPr>
        <w:jc w:val="both"/>
        <w:rPr>
          <w:lang w:val="en-AU"/>
        </w:rPr>
      </w:pPr>
      <w:bookmarkStart w:id="19" w:name="_Toc520704167"/>
      <w:r w:rsidRPr="00FD5699">
        <w:rPr>
          <w:lang w:val="en-AU"/>
        </w:rPr>
        <w:t>Conclusion</w:t>
      </w:r>
      <w:bookmarkEnd w:id="18"/>
      <w:bookmarkEnd w:id="19"/>
      <w:r w:rsidRPr="00FD5699">
        <w:rPr>
          <w:lang w:val="en-AU"/>
        </w:rPr>
        <w:t xml:space="preserve"> </w:t>
      </w:r>
    </w:p>
    <w:p w14:paraId="19D7EDAA" w14:textId="7F6476C9" w:rsidR="003A1CC9" w:rsidRPr="00FD5699" w:rsidRDefault="007A1896" w:rsidP="003A1CC9">
      <w:pPr>
        <w:rPr>
          <w:highlight w:val="yellow"/>
          <w:lang w:val="en-AU"/>
        </w:rPr>
      </w:pPr>
      <w:r>
        <w:rPr>
          <w:lang w:val="en-AU"/>
        </w:rPr>
        <w:t xml:space="preserve">On </w:t>
      </w:r>
      <w:r w:rsidR="00C457E0">
        <w:rPr>
          <w:lang w:val="en-AU"/>
        </w:rPr>
        <w:t>2 June 2018</w:t>
      </w:r>
      <w:r w:rsidR="008E2980" w:rsidRPr="00FD5699">
        <w:rPr>
          <w:lang w:val="en-AU"/>
        </w:rPr>
        <w:t xml:space="preserve">, </w:t>
      </w:r>
      <w:r w:rsidR="00B655F1">
        <w:rPr>
          <w:lang w:val="en-AU"/>
        </w:rPr>
        <w:t>DA</w:t>
      </w:r>
      <w:r w:rsidR="00C457E0">
        <w:rPr>
          <w:lang w:val="en-AU"/>
        </w:rPr>
        <w:t>90</w:t>
      </w:r>
      <w:r w:rsidR="003A1CC9" w:rsidRPr="00FD5699">
        <w:rPr>
          <w:lang w:val="en-AU"/>
        </w:rPr>
        <w:t xml:space="preserve"> was released for public consultation. The public consultation period ran for six weeks in accordance with the NCA’s </w:t>
      </w:r>
      <w:r w:rsidR="007B5A33" w:rsidRPr="00FD5699">
        <w:rPr>
          <w:lang w:val="en-AU"/>
        </w:rPr>
        <w:t>‘</w:t>
      </w:r>
      <w:r w:rsidR="003A1CC9" w:rsidRPr="00816D6E">
        <w:rPr>
          <w:i/>
          <w:lang w:val="en-AU"/>
        </w:rPr>
        <w:t>Commitment to C</w:t>
      </w:r>
      <w:r w:rsidR="00816D6E" w:rsidRPr="00816D6E">
        <w:rPr>
          <w:i/>
          <w:lang w:val="en-AU"/>
        </w:rPr>
        <w:t>ommunity Engagement</w:t>
      </w:r>
      <w:r w:rsidR="00816D6E">
        <w:rPr>
          <w:lang w:val="en-AU"/>
        </w:rPr>
        <w:t>’ (August </w:t>
      </w:r>
      <w:r>
        <w:rPr>
          <w:lang w:val="en-AU"/>
        </w:rPr>
        <w:t>2015</w:t>
      </w:r>
      <w:r w:rsidR="003A1CC9" w:rsidRPr="00FD5699">
        <w:rPr>
          <w:lang w:val="en-AU"/>
        </w:rPr>
        <w:t xml:space="preserve">), concluding on </w:t>
      </w:r>
      <w:r w:rsidR="00C457E0">
        <w:rPr>
          <w:lang w:val="en-AU"/>
        </w:rPr>
        <w:t>16 July 2018</w:t>
      </w:r>
      <w:r w:rsidR="003A1CC9" w:rsidRPr="00FD5699">
        <w:rPr>
          <w:lang w:val="en-AU"/>
        </w:rPr>
        <w:t>.</w:t>
      </w:r>
    </w:p>
    <w:p w14:paraId="0BC551C7" w14:textId="7A3DF2D3" w:rsidR="003A1CC9" w:rsidRPr="00FD5699" w:rsidRDefault="000B1CBD" w:rsidP="003A1CC9">
      <w:pPr>
        <w:rPr>
          <w:lang w:val="en-AU"/>
        </w:rPr>
      </w:pPr>
      <w:r>
        <w:rPr>
          <w:lang w:val="en-AU"/>
        </w:rPr>
        <w:t>Three</w:t>
      </w:r>
      <w:r w:rsidR="00606E79" w:rsidRPr="00FD5699">
        <w:rPr>
          <w:lang w:val="en-AU"/>
        </w:rPr>
        <w:t xml:space="preserve"> </w:t>
      </w:r>
      <w:r w:rsidR="00F4639E">
        <w:rPr>
          <w:lang w:val="en-AU"/>
        </w:rPr>
        <w:t>written submission</w:t>
      </w:r>
      <w:r w:rsidR="00B655F1">
        <w:rPr>
          <w:lang w:val="en-AU"/>
        </w:rPr>
        <w:t>s</w:t>
      </w:r>
      <w:r w:rsidR="003A1CC9" w:rsidRPr="00FD5699">
        <w:rPr>
          <w:lang w:val="en-AU"/>
        </w:rPr>
        <w:t xml:space="preserve"> </w:t>
      </w:r>
      <w:r w:rsidR="00B655F1">
        <w:rPr>
          <w:lang w:val="en-AU"/>
        </w:rPr>
        <w:t>were</w:t>
      </w:r>
      <w:r w:rsidR="00F4639E">
        <w:rPr>
          <w:lang w:val="en-AU"/>
        </w:rPr>
        <w:t xml:space="preserve"> </w:t>
      </w:r>
      <w:r w:rsidR="003A1CC9" w:rsidRPr="00FD5699">
        <w:rPr>
          <w:lang w:val="en-AU"/>
        </w:rPr>
        <w:t xml:space="preserve">received in </w:t>
      </w:r>
      <w:r w:rsidR="00915EC1" w:rsidRPr="006D479F">
        <w:rPr>
          <w:lang w:val="en-AU"/>
        </w:rPr>
        <w:t xml:space="preserve">response to </w:t>
      </w:r>
      <w:r w:rsidR="00044BEA" w:rsidRPr="006D479F">
        <w:rPr>
          <w:lang w:val="en-AU"/>
        </w:rPr>
        <w:t>DA</w:t>
      </w:r>
      <w:r w:rsidR="00C457E0" w:rsidRPr="006D479F">
        <w:rPr>
          <w:lang w:val="en-AU"/>
        </w:rPr>
        <w:t>90</w:t>
      </w:r>
      <w:r w:rsidR="007A1896" w:rsidRPr="006D479F">
        <w:rPr>
          <w:lang w:val="en-AU"/>
        </w:rPr>
        <w:t xml:space="preserve">. </w:t>
      </w:r>
      <w:r w:rsidR="00816D6E">
        <w:rPr>
          <w:lang w:val="en-AU"/>
        </w:rPr>
        <w:t>Clarification</w:t>
      </w:r>
      <w:r w:rsidR="00276277">
        <w:rPr>
          <w:lang w:val="en-AU"/>
        </w:rPr>
        <w:t xml:space="preserve"> regarding land use</w:t>
      </w:r>
      <w:r w:rsidR="00816D6E">
        <w:rPr>
          <w:lang w:val="en-AU"/>
        </w:rPr>
        <w:t xml:space="preserve">, as noted </w:t>
      </w:r>
      <w:r w:rsidR="00276277">
        <w:rPr>
          <w:lang w:val="en-AU"/>
        </w:rPr>
        <w:t>in section</w:t>
      </w:r>
      <w:r w:rsidR="00E436BB">
        <w:rPr>
          <w:lang w:val="en-AU"/>
        </w:rPr>
        <w:t>s</w:t>
      </w:r>
      <w:r w:rsidR="00276277">
        <w:rPr>
          <w:lang w:val="en-AU"/>
        </w:rPr>
        <w:t xml:space="preserve"> 3.2 </w:t>
      </w:r>
      <w:r w:rsidR="00E436BB">
        <w:rPr>
          <w:lang w:val="en-AU"/>
        </w:rPr>
        <w:t xml:space="preserve">and 4 </w:t>
      </w:r>
      <w:r w:rsidR="00816D6E">
        <w:rPr>
          <w:lang w:val="en-AU"/>
        </w:rPr>
        <w:t xml:space="preserve">above, is the only change </w:t>
      </w:r>
      <w:r w:rsidR="00915EC1" w:rsidRPr="006D479F">
        <w:rPr>
          <w:lang w:val="en-AU"/>
        </w:rPr>
        <w:t xml:space="preserve">to </w:t>
      </w:r>
      <w:r w:rsidR="00044BEA" w:rsidRPr="006D479F">
        <w:rPr>
          <w:lang w:val="en-AU"/>
        </w:rPr>
        <w:t>DA</w:t>
      </w:r>
      <w:r w:rsidR="00C457E0" w:rsidRPr="006D479F">
        <w:rPr>
          <w:lang w:val="en-AU"/>
        </w:rPr>
        <w:t>90</w:t>
      </w:r>
      <w:r w:rsidR="003A1CC9" w:rsidRPr="006D479F">
        <w:rPr>
          <w:lang w:val="en-AU"/>
        </w:rPr>
        <w:t>.</w:t>
      </w:r>
      <w:r w:rsidR="003A1CC9" w:rsidRPr="00FD5699">
        <w:rPr>
          <w:lang w:val="en-AU"/>
        </w:rPr>
        <w:t xml:space="preserve"> </w:t>
      </w:r>
    </w:p>
    <w:p w14:paraId="2BDEE98E" w14:textId="77777777" w:rsidR="003A1CC9" w:rsidRPr="00FD5699" w:rsidRDefault="003A1CC9" w:rsidP="003A1CC9">
      <w:pPr>
        <w:pStyle w:val="Heading1"/>
        <w:numPr>
          <w:ilvl w:val="0"/>
          <w:numId w:val="4"/>
        </w:numPr>
        <w:jc w:val="both"/>
        <w:rPr>
          <w:lang w:val="en-AU"/>
        </w:rPr>
      </w:pPr>
      <w:bookmarkStart w:id="20" w:name="_Toc329685589"/>
      <w:bookmarkStart w:id="21" w:name="_Toc520704168"/>
      <w:r w:rsidRPr="00FD5699">
        <w:rPr>
          <w:lang w:val="en-AU"/>
        </w:rPr>
        <w:lastRenderedPageBreak/>
        <w:t>Attachments</w:t>
      </w:r>
      <w:bookmarkEnd w:id="20"/>
      <w:bookmarkEnd w:id="21"/>
    </w:p>
    <w:p w14:paraId="21B2B126" w14:textId="57F75DC1" w:rsidR="003A1CC9" w:rsidRPr="007A1896" w:rsidRDefault="003A1CC9" w:rsidP="003A1CC9">
      <w:pPr>
        <w:numPr>
          <w:ilvl w:val="0"/>
          <w:numId w:val="2"/>
        </w:numPr>
        <w:rPr>
          <w:lang w:val="en-AU"/>
        </w:rPr>
      </w:pPr>
      <w:r w:rsidRPr="007A1896">
        <w:rPr>
          <w:lang w:val="en-AU"/>
        </w:rPr>
        <w:t xml:space="preserve">Notice </w:t>
      </w:r>
      <w:r w:rsidR="00C457E0">
        <w:rPr>
          <w:lang w:val="en-AU"/>
        </w:rPr>
        <w:t>of release of Draft Amendment 90</w:t>
      </w:r>
      <w:r w:rsidRPr="007A1896">
        <w:rPr>
          <w:lang w:val="en-AU"/>
        </w:rPr>
        <w:t xml:space="preserve"> for public comment published in </w:t>
      </w:r>
      <w:r w:rsidRPr="007A1896">
        <w:rPr>
          <w:i/>
          <w:lang w:val="en-AU"/>
        </w:rPr>
        <w:t>The Canberra Times</w:t>
      </w:r>
      <w:r w:rsidRPr="007A1896">
        <w:rPr>
          <w:lang w:val="en-AU"/>
        </w:rPr>
        <w:t>.</w:t>
      </w:r>
    </w:p>
    <w:p w14:paraId="5F42B9FF" w14:textId="24FE9A48" w:rsidR="003A1CC9" w:rsidRPr="00FD5699" w:rsidRDefault="003A1CC9" w:rsidP="003A1CC9">
      <w:pPr>
        <w:numPr>
          <w:ilvl w:val="0"/>
          <w:numId w:val="2"/>
        </w:numPr>
        <w:rPr>
          <w:lang w:val="en-AU"/>
        </w:rPr>
      </w:pPr>
      <w:r w:rsidRPr="00FD5699">
        <w:rPr>
          <w:lang w:val="en-AU"/>
        </w:rPr>
        <w:t xml:space="preserve">Notice </w:t>
      </w:r>
      <w:r w:rsidR="00C457E0">
        <w:rPr>
          <w:lang w:val="en-AU"/>
        </w:rPr>
        <w:t>of release of Draft Amendment 90</w:t>
      </w:r>
      <w:r w:rsidRPr="00FD5699">
        <w:rPr>
          <w:lang w:val="en-AU"/>
        </w:rPr>
        <w:t xml:space="preserve"> for public comment published in the </w:t>
      </w:r>
      <w:r w:rsidRPr="00FD5699">
        <w:rPr>
          <w:i/>
          <w:lang w:val="en-AU"/>
        </w:rPr>
        <w:t>Commonwealth Notices Gazette</w:t>
      </w:r>
      <w:r w:rsidRPr="00FD5699">
        <w:rPr>
          <w:lang w:val="en-AU"/>
        </w:rPr>
        <w:t>.</w:t>
      </w:r>
    </w:p>
    <w:p w14:paraId="1DE65883" w14:textId="77777777" w:rsidR="003A1CC9" w:rsidRPr="00FD5699" w:rsidRDefault="003A1CC9" w:rsidP="003A1CC9">
      <w:pPr>
        <w:numPr>
          <w:ilvl w:val="0"/>
          <w:numId w:val="2"/>
        </w:numPr>
        <w:rPr>
          <w:lang w:val="en-AU"/>
        </w:rPr>
      </w:pPr>
      <w:r w:rsidRPr="00FD5699">
        <w:rPr>
          <w:lang w:val="en-AU"/>
        </w:rPr>
        <w:t>Summary of submissions and NCA response.</w:t>
      </w:r>
    </w:p>
    <w:p w14:paraId="28DE4A25" w14:textId="28C21DF0" w:rsidR="009219A1" w:rsidRDefault="008E2980" w:rsidP="003A1CC9">
      <w:pPr>
        <w:pStyle w:val="Heading3"/>
        <w:rPr>
          <w:lang w:val="en-AU"/>
        </w:rPr>
      </w:pPr>
      <w:bookmarkStart w:id="22" w:name="_Toc328641219"/>
      <w:bookmarkStart w:id="23" w:name="_Toc328643774"/>
      <w:bookmarkStart w:id="24" w:name="_Toc329685590"/>
      <w:r w:rsidRPr="00FD5699">
        <w:rPr>
          <w:highlight w:val="yellow"/>
          <w:lang w:val="en-AU"/>
        </w:rPr>
        <w:br w:type="page"/>
      </w:r>
      <w:bookmarkStart w:id="25" w:name="_Toc520704169"/>
      <w:r w:rsidR="003A1CC9" w:rsidRPr="00306334">
        <w:rPr>
          <w:lang w:val="en-AU"/>
        </w:rPr>
        <w:lastRenderedPageBreak/>
        <w:t>Attachment 1 – Canberra Times notice</w:t>
      </w:r>
      <w:bookmarkEnd w:id="25"/>
      <w:r w:rsidR="003A1CC9" w:rsidRPr="00FD5699">
        <w:rPr>
          <w:lang w:val="en-AU"/>
        </w:rPr>
        <w:t xml:space="preserve"> </w:t>
      </w:r>
    </w:p>
    <w:p w14:paraId="3A035156" w14:textId="77777777" w:rsidR="009219A1" w:rsidRPr="009219A1" w:rsidRDefault="009219A1" w:rsidP="009219A1">
      <w:pPr>
        <w:rPr>
          <w:lang w:val="en-AU"/>
        </w:rPr>
      </w:pPr>
    </w:p>
    <w:p w14:paraId="3E898719" w14:textId="4FDAC1D4" w:rsidR="009219A1" w:rsidRDefault="009219A1" w:rsidP="009219A1">
      <w:pPr>
        <w:spacing w:after="0"/>
        <w:jc w:val="center"/>
        <w:rPr>
          <w:rFonts w:cs="Arial"/>
          <w:b/>
          <w:bCs/>
          <w:sz w:val="28"/>
          <w:szCs w:val="26"/>
          <w:lang w:val="en-AU"/>
        </w:rPr>
      </w:pPr>
      <w:r>
        <w:rPr>
          <w:noProof/>
          <w:lang w:val="en-AU" w:eastAsia="en-AU"/>
        </w:rPr>
        <w:drawing>
          <wp:inline distT="0" distB="0" distL="0" distR="0" wp14:anchorId="164ABEEE" wp14:editId="636AE7ED">
            <wp:extent cx="2286000" cy="5404104"/>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347830  Draft Amendment 90 Mint Administration Building - Canberra Times Public Notice (2 June 2018).jpg"/>
                    <pic:cNvPicPr/>
                  </pic:nvPicPr>
                  <pic:blipFill>
                    <a:blip r:embed="rId9">
                      <a:extLst>
                        <a:ext uri="{28A0092B-C50C-407E-A947-70E740481C1C}">
                          <a14:useLocalDpi xmlns:a14="http://schemas.microsoft.com/office/drawing/2010/main" val="0"/>
                        </a:ext>
                      </a:extLst>
                    </a:blip>
                    <a:stretch>
                      <a:fillRect/>
                    </a:stretch>
                  </pic:blipFill>
                  <pic:spPr>
                    <a:xfrm>
                      <a:off x="0" y="0"/>
                      <a:ext cx="2286000" cy="5404104"/>
                    </a:xfrm>
                    <a:prstGeom prst="rect">
                      <a:avLst/>
                    </a:prstGeom>
                  </pic:spPr>
                </pic:pic>
              </a:graphicData>
            </a:graphic>
          </wp:inline>
        </w:drawing>
      </w:r>
      <w:r>
        <w:rPr>
          <w:lang w:val="en-AU"/>
        </w:rPr>
        <w:br w:type="page"/>
      </w:r>
    </w:p>
    <w:p w14:paraId="1F1CCD2D" w14:textId="6920AEDE" w:rsidR="00E60ECA" w:rsidRDefault="009219A1" w:rsidP="002D2BA2">
      <w:pPr>
        <w:pStyle w:val="Heading3"/>
      </w:pPr>
      <w:bookmarkStart w:id="26" w:name="_Toc328641220"/>
      <w:bookmarkStart w:id="27" w:name="_Toc328643775"/>
      <w:bookmarkStart w:id="28" w:name="_Toc329685591"/>
      <w:bookmarkStart w:id="29" w:name="_Toc520704170"/>
      <w:r>
        <w:rPr>
          <w:rFonts w:ascii="Cambria" w:hAnsi="Cambria"/>
          <w:noProof/>
          <w:lang w:val="en-AU" w:eastAsia="en-AU"/>
        </w:rPr>
        <w:lastRenderedPageBreak/>
        <w:drawing>
          <wp:anchor distT="0" distB="0" distL="114300" distR="114300" simplePos="0" relativeHeight="251658752" behindDoc="1" locked="0" layoutInCell="1" allowOverlap="1" wp14:anchorId="39872F7E" wp14:editId="15FCF138">
            <wp:simplePos x="0" y="0"/>
            <wp:positionH relativeFrom="column">
              <wp:posOffset>-264904</wp:posOffset>
            </wp:positionH>
            <wp:positionV relativeFrom="paragraph">
              <wp:posOffset>325755</wp:posOffset>
            </wp:positionV>
            <wp:extent cx="6015355" cy="8144510"/>
            <wp:effectExtent l="0" t="0" r="4445" b="889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349353  Draft Amendment 90 Mint Administration Building - gazette notice (4 June 2018).jpg"/>
                    <pic:cNvPicPr/>
                  </pic:nvPicPr>
                  <pic:blipFill rotWithShape="1">
                    <a:blip r:embed="rId10" cstate="print">
                      <a:extLst>
                        <a:ext uri="{28A0092B-C50C-407E-A947-70E740481C1C}">
                          <a14:useLocalDpi xmlns:a14="http://schemas.microsoft.com/office/drawing/2010/main" val="0"/>
                        </a:ext>
                      </a:extLst>
                    </a:blip>
                    <a:srcRect t="2750" b="1500"/>
                    <a:stretch/>
                  </pic:blipFill>
                  <pic:spPr bwMode="auto">
                    <a:xfrm>
                      <a:off x="0" y="0"/>
                      <a:ext cx="6015355" cy="8144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1CC9" w:rsidRPr="00306334">
        <w:t>Attachment 2</w:t>
      </w:r>
      <w:r w:rsidR="00B3592B" w:rsidRPr="00306334">
        <w:t xml:space="preserve"> – </w:t>
      </w:r>
      <w:r w:rsidR="00A84D04">
        <w:t>Government</w:t>
      </w:r>
      <w:r w:rsidR="00B3592B" w:rsidRPr="00306334">
        <w:t xml:space="preserve"> Notices Gazette </w:t>
      </w:r>
      <w:r w:rsidR="003A1CC9" w:rsidRPr="00306334">
        <w:t>notice</w:t>
      </w:r>
      <w:bookmarkEnd w:id="22"/>
      <w:bookmarkEnd w:id="23"/>
      <w:bookmarkEnd w:id="24"/>
      <w:bookmarkEnd w:id="26"/>
      <w:bookmarkEnd w:id="27"/>
      <w:bookmarkEnd w:id="28"/>
      <w:bookmarkEnd w:id="29"/>
    </w:p>
    <w:p w14:paraId="25E15A2F" w14:textId="77777777" w:rsidR="009219A1" w:rsidRPr="009219A1" w:rsidRDefault="009219A1" w:rsidP="009219A1"/>
    <w:p w14:paraId="711CA216" w14:textId="41A924D3" w:rsidR="00C83A32" w:rsidRDefault="00C83A32" w:rsidP="002D2BA2">
      <w:pPr>
        <w:rPr>
          <w:rStyle w:val="Heading3Char"/>
          <w:rFonts w:ascii="Cambria" w:hAnsi="Cambria" w:cs="Times New Roman"/>
          <w:b w:val="0"/>
          <w:bCs w:val="0"/>
          <w:sz w:val="22"/>
          <w:szCs w:val="24"/>
          <w:lang w:val="en-AU"/>
        </w:rPr>
      </w:pPr>
    </w:p>
    <w:p w14:paraId="29160384" w14:textId="04ABF067" w:rsidR="00A77481" w:rsidRPr="00FD5699" w:rsidRDefault="00A77481" w:rsidP="002D2BA2">
      <w:pPr>
        <w:rPr>
          <w:rStyle w:val="Heading3Char"/>
          <w:rFonts w:ascii="Cambria" w:hAnsi="Cambria" w:cs="Times New Roman"/>
          <w:b w:val="0"/>
          <w:bCs w:val="0"/>
          <w:sz w:val="22"/>
          <w:szCs w:val="24"/>
          <w:lang w:val="en-AU"/>
        </w:rPr>
        <w:sectPr w:rsidR="00A77481" w:rsidRPr="00FD5699" w:rsidSect="003A1CC9">
          <w:headerReference w:type="default" r:id="rId11"/>
          <w:footerReference w:type="even" r:id="rId12"/>
          <w:footerReference w:type="default" r:id="rId13"/>
          <w:pgSz w:w="12240" w:h="15840"/>
          <w:pgMar w:top="1440" w:right="1797" w:bottom="1440" w:left="1797" w:header="709" w:footer="709" w:gutter="0"/>
          <w:cols w:space="708"/>
          <w:docGrid w:linePitch="360"/>
        </w:sectPr>
      </w:pPr>
    </w:p>
    <w:p w14:paraId="728320CC" w14:textId="7F39E483" w:rsidR="003A1CC9" w:rsidRDefault="00672221" w:rsidP="00A02FFD">
      <w:pPr>
        <w:pStyle w:val="Heading3"/>
        <w:rPr>
          <w:lang w:val="en-AU"/>
        </w:rPr>
      </w:pPr>
      <w:bookmarkStart w:id="30" w:name="_Toc328641221"/>
      <w:bookmarkStart w:id="31" w:name="_Toc328643776"/>
      <w:bookmarkStart w:id="32" w:name="_Toc329685592"/>
      <w:bookmarkStart w:id="33" w:name="_Toc520704171"/>
      <w:r>
        <w:rPr>
          <w:lang w:val="en-AU"/>
        </w:rPr>
        <w:lastRenderedPageBreak/>
        <w:t>Attachment 3</w:t>
      </w:r>
      <w:r w:rsidR="003A1CC9" w:rsidRPr="00FD5699">
        <w:rPr>
          <w:lang w:val="en-AU"/>
        </w:rPr>
        <w:t xml:space="preserve"> – Summary of submissions</w:t>
      </w:r>
      <w:bookmarkEnd w:id="30"/>
      <w:bookmarkEnd w:id="31"/>
      <w:bookmarkEnd w:id="32"/>
      <w:bookmarkEnd w:id="33"/>
    </w:p>
    <w:p w14:paraId="6B007EDB" w14:textId="77777777" w:rsidR="00A45978" w:rsidRPr="00A45978" w:rsidRDefault="00A45978" w:rsidP="00A45978">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310"/>
        <w:gridCol w:w="5805"/>
        <w:gridCol w:w="4190"/>
      </w:tblGrid>
      <w:tr w:rsidR="003A1CC9" w:rsidRPr="007F5816" w14:paraId="05F95F9B" w14:textId="77777777" w:rsidTr="009219A1">
        <w:trPr>
          <w:tblHeader/>
        </w:trPr>
        <w:tc>
          <w:tcPr>
            <w:tcW w:w="645" w:type="dxa"/>
            <w:shd w:val="clear" w:color="auto" w:fill="auto"/>
          </w:tcPr>
          <w:p w14:paraId="2B8E2739" w14:textId="77777777" w:rsidR="003A1CC9" w:rsidRPr="007F5816" w:rsidRDefault="003A1CC9" w:rsidP="003A1CC9">
            <w:pPr>
              <w:rPr>
                <w:b/>
                <w:szCs w:val="22"/>
                <w:lang w:val="en-AU"/>
              </w:rPr>
            </w:pPr>
            <w:r w:rsidRPr="007F5816">
              <w:rPr>
                <w:b/>
                <w:szCs w:val="22"/>
                <w:lang w:val="en-AU"/>
              </w:rPr>
              <w:t>No.</w:t>
            </w:r>
          </w:p>
        </w:tc>
        <w:tc>
          <w:tcPr>
            <w:tcW w:w="2310" w:type="dxa"/>
            <w:shd w:val="clear" w:color="auto" w:fill="auto"/>
          </w:tcPr>
          <w:p w14:paraId="07838BF4" w14:textId="77777777" w:rsidR="003A1CC9" w:rsidRPr="007F5816" w:rsidRDefault="003A1CC9" w:rsidP="003A1CC9">
            <w:pPr>
              <w:rPr>
                <w:b/>
                <w:lang w:val="en-AU"/>
              </w:rPr>
            </w:pPr>
            <w:r w:rsidRPr="007F5816">
              <w:rPr>
                <w:b/>
                <w:lang w:val="en-AU"/>
              </w:rPr>
              <w:t>Details of submitter</w:t>
            </w:r>
          </w:p>
        </w:tc>
        <w:tc>
          <w:tcPr>
            <w:tcW w:w="5805" w:type="dxa"/>
            <w:shd w:val="clear" w:color="auto" w:fill="auto"/>
          </w:tcPr>
          <w:p w14:paraId="5C9CC5BD" w14:textId="77777777" w:rsidR="003A1CC9" w:rsidRPr="007F5816" w:rsidRDefault="00F23CC8" w:rsidP="003A1CC9">
            <w:pPr>
              <w:rPr>
                <w:b/>
                <w:lang w:val="en-AU"/>
              </w:rPr>
            </w:pPr>
            <w:r>
              <w:rPr>
                <w:b/>
                <w:lang w:val="en-AU"/>
              </w:rPr>
              <w:t>Details of submission</w:t>
            </w:r>
          </w:p>
        </w:tc>
        <w:tc>
          <w:tcPr>
            <w:tcW w:w="4190" w:type="dxa"/>
            <w:shd w:val="clear" w:color="auto" w:fill="auto"/>
          </w:tcPr>
          <w:p w14:paraId="055AC30C" w14:textId="77777777" w:rsidR="003A1CC9" w:rsidRPr="007F5816" w:rsidRDefault="003A1CC9" w:rsidP="003A1CC9">
            <w:pPr>
              <w:rPr>
                <w:b/>
                <w:lang w:val="en-AU"/>
              </w:rPr>
            </w:pPr>
            <w:r w:rsidRPr="007F5816">
              <w:rPr>
                <w:b/>
                <w:lang w:val="en-AU"/>
              </w:rPr>
              <w:t>NCA consideration</w:t>
            </w:r>
          </w:p>
        </w:tc>
      </w:tr>
      <w:tr w:rsidR="00E034C0" w:rsidRPr="007F5816" w14:paraId="783FAB60" w14:textId="77777777" w:rsidTr="009219A1">
        <w:tc>
          <w:tcPr>
            <w:tcW w:w="645" w:type="dxa"/>
            <w:tcBorders>
              <w:bottom w:val="single" w:sz="4" w:space="0" w:color="auto"/>
            </w:tcBorders>
            <w:shd w:val="clear" w:color="auto" w:fill="F3F3F3"/>
          </w:tcPr>
          <w:p w14:paraId="4AD57248" w14:textId="77777777" w:rsidR="00E034C0" w:rsidRPr="00B655F1" w:rsidRDefault="00B655F1" w:rsidP="00AB37C5">
            <w:pPr>
              <w:spacing w:before="120" w:line="240" w:lineRule="exact"/>
              <w:rPr>
                <w:sz w:val="24"/>
                <w:lang w:val="en-AU"/>
              </w:rPr>
            </w:pPr>
            <w:r>
              <w:rPr>
                <w:sz w:val="24"/>
                <w:lang w:val="en-AU"/>
              </w:rPr>
              <w:t>1</w:t>
            </w:r>
          </w:p>
        </w:tc>
        <w:tc>
          <w:tcPr>
            <w:tcW w:w="2310" w:type="dxa"/>
            <w:tcBorders>
              <w:bottom w:val="single" w:sz="4" w:space="0" w:color="auto"/>
            </w:tcBorders>
            <w:shd w:val="clear" w:color="auto" w:fill="F3F3F3"/>
          </w:tcPr>
          <w:p w14:paraId="798E1E1A" w14:textId="43423CAB" w:rsidR="00E034C0" w:rsidRPr="007F5816" w:rsidRDefault="00A15B7E" w:rsidP="00AB37C5">
            <w:pPr>
              <w:spacing w:before="120"/>
              <w:rPr>
                <w:lang w:val="en-AU"/>
              </w:rPr>
            </w:pPr>
            <w:r>
              <w:rPr>
                <w:lang w:val="en-AU"/>
              </w:rPr>
              <w:t xml:space="preserve">Submission 1 </w:t>
            </w:r>
          </w:p>
        </w:tc>
        <w:tc>
          <w:tcPr>
            <w:tcW w:w="5805" w:type="dxa"/>
            <w:tcBorders>
              <w:bottom w:val="single" w:sz="4" w:space="0" w:color="auto"/>
            </w:tcBorders>
            <w:shd w:val="clear" w:color="auto" w:fill="F3F3F3"/>
          </w:tcPr>
          <w:p w14:paraId="5DC90C76" w14:textId="3CD137A7" w:rsidR="00A15B7E" w:rsidRDefault="003B77CA" w:rsidP="009219A1">
            <w:r>
              <w:t>The submitter raised concerns about the ongoing heritage conservation of the Mint Administration Building. The submitter has noted that they are pleased to see a Heritage Management Plan in place but woul</w:t>
            </w:r>
            <w:r w:rsidR="00816D6E">
              <w:t>d like to see it updated every five</w:t>
            </w:r>
            <w:r>
              <w:t xml:space="preserve"> years and endorsed b</w:t>
            </w:r>
            <w:r w:rsidR="0046456D">
              <w:t>y the Department of Environment and Energy.</w:t>
            </w:r>
          </w:p>
          <w:p w14:paraId="0AAF3369" w14:textId="4DAA7714" w:rsidR="00FE60F0" w:rsidRPr="00405D16" w:rsidRDefault="003B77CA" w:rsidP="0046456D">
            <w:r>
              <w:t xml:space="preserve">The submitter also stated that they would like to see public consultation </w:t>
            </w:r>
            <w:r w:rsidR="001D11A4">
              <w:t>conducted about any potential use</w:t>
            </w:r>
            <w:r>
              <w:t xml:space="preserve"> </w:t>
            </w:r>
            <w:r w:rsidR="001D11A4">
              <w:t>and building changes</w:t>
            </w:r>
            <w:r w:rsidR="0046456D">
              <w:t>.</w:t>
            </w:r>
          </w:p>
        </w:tc>
        <w:tc>
          <w:tcPr>
            <w:tcW w:w="4190" w:type="dxa"/>
            <w:tcBorders>
              <w:bottom w:val="single" w:sz="4" w:space="0" w:color="auto"/>
            </w:tcBorders>
            <w:shd w:val="clear" w:color="auto" w:fill="F3F3F3"/>
          </w:tcPr>
          <w:p w14:paraId="0A2BAE29" w14:textId="4A88F7D8" w:rsidR="001D11A4" w:rsidRPr="001D11A4" w:rsidRDefault="001D11A4" w:rsidP="001D11A4">
            <w:r w:rsidRPr="001D11A4">
              <w:t xml:space="preserve">Noted. In addition to </w:t>
            </w:r>
            <w:r w:rsidR="00767C87" w:rsidRPr="001D11A4">
              <w:t xml:space="preserve">the </w:t>
            </w:r>
            <w:r w:rsidR="00767C87">
              <w:t xml:space="preserve">existing </w:t>
            </w:r>
            <w:r w:rsidRPr="001D11A4">
              <w:t>Heritage Management Plan</w:t>
            </w:r>
            <w:r w:rsidR="00767C87">
              <w:t>,</w:t>
            </w:r>
            <w:r w:rsidRPr="001D11A4">
              <w:t xml:space="preserve"> </w:t>
            </w:r>
            <w:r w:rsidR="00767C87">
              <w:t>further</w:t>
            </w:r>
            <w:r w:rsidRPr="001D11A4">
              <w:t xml:space="preserve"> heritage </w:t>
            </w:r>
            <w:r w:rsidR="00816D6E">
              <w:t>requirements</w:t>
            </w:r>
            <w:r w:rsidRPr="001D11A4">
              <w:t xml:space="preserve"> are </w:t>
            </w:r>
            <w:r w:rsidR="00767C87">
              <w:t>included</w:t>
            </w:r>
            <w:r w:rsidRPr="001D11A4">
              <w:t xml:space="preserve"> in the </w:t>
            </w:r>
            <w:r w:rsidR="00816D6E">
              <w:t xml:space="preserve">draft </w:t>
            </w:r>
            <w:r w:rsidRPr="001D11A4">
              <w:t xml:space="preserve">Crown Lease. </w:t>
            </w:r>
            <w:r w:rsidR="00D647DA">
              <w:t>The draft Crown Lease</w:t>
            </w:r>
            <w:r w:rsidR="00D647DA" w:rsidRPr="00DA5E07">
              <w:t xml:space="preserve"> include</w:t>
            </w:r>
            <w:r w:rsidR="00D647DA">
              <w:t>s</w:t>
            </w:r>
            <w:r w:rsidR="00D647DA" w:rsidRPr="00DA5E07">
              <w:t xml:space="preserve"> the requirement </w:t>
            </w:r>
            <w:r w:rsidR="00D647DA">
              <w:t xml:space="preserve">for the Lessee to provide to the Department of the Environment and Energy </w:t>
            </w:r>
            <w:r w:rsidR="00D647DA" w:rsidRPr="00DA5E07">
              <w:t>a review of the HMP within the first 12 months of the Lease and every five years thereafter</w:t>
            </w:r>
            <w:r w:rsidR="00D647DA">
              <w:t xml:space="preserve"> and that the review, including any updates to the HMP, be to the satisfaction of the Department of the Environment and Energy. </w:t>
            </w:r>
          </w:p>
          <w:p w14:paraId="02C9B7B8" w14:textId="77777777" w:rsidR="00816D6E" w:rsidRDefault="00816D6E" w:rsidP="001D11A4">
            <w:pPr>
              <w:spacing w:before="120"/>
              <w:rPr>
                <w:szCs w:val="22"/>
                <w:lang w:val="en-AU"/>
              </w:rPr>
            </w:pPr>
          </w:p>
          <w:p w14:paraId="7E54048E" w14:textId="02130FE4" w:rsidR="00E034C0" w:rsidRPr="00306334" w:rsidRDefault="001D11A4" w:rsidP="00276277">
            <w:pPr>
              <w:spacing w:before="120"/>
              <w:rPr>
                <w:szCs w:val="22"/>
                <w:lang w:val="en-AU"/>
              </w:rPr>
            </w:pPr>
            <w:r>
              <w:rPr>
                <w:szCs w:val="22"/>
                <w:lang w:val="en-AU"/>
              </w:rPr>
              <w:t xml:space="preserve">Where required </w:t>
            </w:r>
            <w:r w:rsidR="00816D6E">
              <w:rPr>
                <w:szCs w:val="22"/>
                <w:lang w:val="en-AU"/>
              </w:rPr>
              <w:t xml:space="preserve">the </w:t>
            </w:r>
            <w:r>
              <w:rPr>
                <w:szCs w:val="22"/>
                <w:lang w:val="en-AU"/>
              </w:rPr>
              <w:t xml:space="preserve">NCA will conduct public notification for changes to the Mint Administration Building in accordance with </w:t>
            </w:r>
            <w:r w:rsidR="00276277">
              <w:rPr>
                <w:szCs w:val="22"/>
                <w:lang w:val="en-AU"/>
              </w:rPr>
              <w:t>the NCA’s</w:t>
            </w:r>
            <w:r w:rsidR="00816D6E">
              <w:rPr>
                <w:szCs w:val="22"/>
                <w:lang w:val="en-AU"/>
              </w:rPr>
              <w:t xml:space="preserve"> </w:t>
            </w:r>
            <w:r w:rsidR="00816D6E" w:rsidRPr="00F374C8">
              <w:rPr>
                <w:i/>
                <w:szCs w:val="22"/>
                <w:lang w:val="en-AU"/>
              </w:rPr>
              <w:t>Commitment to Community E</w:t>
            </w:r>
            <w:r w:rsidRPr="00F374C8">
              <w:rPr>
                <w:i/>
                <w:szCs w:val="22"/>
                <w:lang w:val="en-AU"/>
              </w:rPr>
              <w:t>ngagement</w:t>
            </w:r>
            <w:r w:rsidR="00816D6E">
              <w:rPr>
                <w:szCs w:val="22"/>
                <w:lang w:val="en-AU"/>
              </w:rPr>
              <w:t xml:space="preserve"> (August 2015)</w:t>
            </w:r>
            <w:r>
              <w:rPr>
                <w:szCs w:val="22"/>
                <w:lang w:val="en-AU"/>
              </w:rPr>
              <w:t>.</w:t>
            </w:r>
          </w:p>
        </w:tc>
      </w:tr>
      <w:tr w:rsidR="00A02FFD" w:rsidRPr="007F5816" w14:paraId="7C66936B" w14:textId="77777777" w:rsidTr="009219A1">
        <w:tc>
          <w:tcPr>
            <w:tcW w:w="645" w:type="dxa"/>
            <w:shd w:val="clear" w:color="auto" w:fill="FFFFFF" w:themeFill="background1"/>
          </w:tcPr>
          <w:p w14:paraId="3D9E8261" w14:textId="77777777" w:rsidR="00A02FFD" w:rsidRDefault="00A02FFD" w:rsidP="00AB37C5">
            <w:pPr>
              <w:spacing w:before="120" w:line="240" w:lineRule="exact"/>
              <w:rPr>
                <w:sz w:val="24"/>
                <w:lang w:val="en-AU"/>
              </w:rPr>
            </w:pPr>
            <w:r>
              <w:rPr>
                <w:sz w:val="24"/>
                <w:lang w:val="en-AU"/>
              </w:rPr>
              <w:t>2</w:t>
            </w:r>
          </w:p>
        </w:tc>
        <w:tc>
          <w:tcPr>
            <w:tcW w:w="2310" w:type="dxa"/>
            <w:shd w:val="clear" w:color="auto" w:fill="FFFFFF" w:themeFill="background1"/>
          </w:tcPr>
          <w:p w14:paraId="04FC8A80" w14:textId="50463F48" w:rsidR="00A02FFD" w:rsidRDefault="009219A1" w:rsidP="00276277">
            <w:pPr>
              <w:spacing w:before="120"/>
              <w:rPr>
                <w:lang w:val="en-AU"/>
              </w:rPr>
            </w:pPr>
            <w:r>
              <w:rPr>
                <w:lang w:val="en-AU"/>
              </w:rPr>
              <w:t xml:space="preserve">Sam White, Acting Chief Financial Officer, </w:t>
            </w:r>
            <w:r w:rsidRPr="009219A1">
              <w:rPr>
                <w:lang w:val="en-AU"/>
              </w:rPr>
              <w:t>Department of Industry, Innovation and Science</w:t>
            </w:r>
          </w:p>
        </w:tc>
        <w:tc>
          <w:tcPr>
            <w:tcW w:w="5805" w:type="dxa"/>
            <w:shd w:val="clear" w:color="auto" w:fill="FFFFFF" w:themeFill="background1"/>
          </w:tcPr>
          <w:p w14:paraId="2224D3F1" w14:textId="3DAC2337" w:rsidR="00F5626B" w:rsidRDefault="00F5626B" w:rsidP="0046456D">
            <w:pPr>
              <w:rPr>
                <w:szCs w:val="22"/>
              </w:rPr>
            </w:pPr>
            <w:r>
              <w:rPr>
                <w:szCs w:val="22"/>
              </w:rPr>
              <w:t>The submitter raised concerns about t</w:t>
            </w:r>
            <w:r w:rsidR="003A59E8">
              <w:rPr>
                <w:szCs w:val="22"/>
              </w:rPr>
              <w:t xml:space="preserve">he change of use for the block and has concerns that </w:t>
            </w:r>
            <w:proofErr w:type="spellStart"/>
            <w:r w:rsidR="003A59E8">
              <w:rPr>
                <w:szCs w:val="22"/>
              </w:rPr>
              <w:t>Questacon</w:t>
            </w:r>
            <w:proofErr w:type="spellEnd"/>
            <w:r w:rsidR="003A59E8">
              <w:rPr>
                <w:szCs w:val="22"/>
              </w:rPr>
              <w:t xml:space="preserve"> will not be able to operate as normal under the new land use propose by DA90. </w:t>
            </w:r>
          </w:p>
          <w:p w14:paraId="3AB6A197" w14:textId="1BFDB47A" w:rsidR="00F5626B" w:rsidRDefault="007C4E1C" w:rsidP="009219A1">
            <w:pPr>
              <w:spacing w:before="120"/>
              <w:rPr>
                <w:szCs w:val="22"/>
              </w:rPr>
            </w:pPr>
            <w:r>
              <w:rPr>
                <w:szCs w:val="22"/>
              </w:rPr>
              <w:t>The submitter also raised</w:t>
            </w:r>
            <w:r w:rsidR="003A59E8">
              <w:rPr>
                <w:szCs w:val="22"/>
              </w:rPr>
              <w:t xml:space="preserve"> concerns that the new landlord might seek to reduce or extinguish </w:t>
            </w:r>
            <w:proofErr w:type="spellStart"/>
            <w:r w:rsidR="003A59E8">
              <w:rPr>
                <w:szCs w:val="22"/>
              </w:rPr>
              <w:t>Questacon’s</w:t>
            </w:r>
            <w:proofErr w:type="spellEnd"/>
            <w:r w:rsidR="003A59E8">
              <w:rPr>
                <w:szCs w:val="22"/>
              </w:rPr>
              <w:t xml:space="preserve"> current rights in order to receive a greater return on the investment. The submitter would like to see the site to remain </w:t>
            </w:r>
            <w:r w:rsidR="003A59E8">
              <w:rPr>
                <w:i/>
                <w:szCs w:val="22"/>
              </w:rPr>
              <w:t xml:space="preserve">National Capital </w:t>
            </w:r>
            <w:r w:rsidR="003A59E8">
              <w:rPr>
                <w:i/>
                <w:szCs w:val="22"/>
              </w:rPr>
              <w:lastRenderedPageBreak/>
              <w:t xml:space="preserve">Use </w:t>
            </w:r>
            <w:r w:rsidR="003A59E8">
              <w:rPr>
                <w:szCs w:val="22"/>
              </w:rPr>
              <w:t xml:space="preserve">and </w:t>
            </w:r>
            <w:r>
              <w:rPr>
                <w:szCs w:val="22"/>
              </w:rPr>
              <w:t>missed use</w:t>
            </w:r>
            <w:r w:rsidR="003A59E8">
              <w:rPr>
                <w:i/>
                <w:szCs w:val="22"/>
              </w:rPr>
              <w:t xml:space="preserve"> </w:t>
            </w:r>
            <w:r w:rsidRPr="007C4E1C">
              <w:rPr>
                <w:szCs w:val="22"/>
              </w:rPr>
              <w:t>added</w:t>
            </w:r>
            <w:r>
              <w:rPr>
                <w:i/>
                <w:szCs w:val="22"/>
              </w:rPr>
              <w:t xml:space="preserve"> </w:t>
            </w:r>
            <w:r w:rsidR="003A59E8">
              <w:rPr>
                <w:szCs w:val="22"/>
              </w:rPr>
              <w:t xml:space="preserve">to specifically permit </w:t>
            </w:r>
            <w:proofErr w:type="spellStart"/>
            <w:r w:rsidR="003A59E8">
              <w:rPr>
                <w:szCs w:val="22"/>
              </w:rPr>
              <w:t>Questacon’s</w:t>
            </w:r>
            <w:proofErr w:type="spellEnd"/>
            <w:r w:rsidR="003A59E8">
              <w:rPr>
                <w:szCs w:val="22"/>
              </w:rPr>
              <w:t xml:space="preserve"> current activities. </w:t>
            </w:r>
          </w:p>
          <w:p w14:paraId="331B56BA" w14:textId="793D69C9" w:rsidR="009219A1" w:rsidRPr="00BA3274" w:rsidRDefault="00F0555B" w:rsidP="009219A1">
            <w:pPr>
              <w:spacing w:before="120"/>
              <w:rPr>
                <w:szCs w:val="22"/>
              </w:rPr>
            </w:pPr>
            <w:r>
              <w:rPr>
                <w:szCs w:val="22"/>
              </w:rPr>
              <w:t>The submitter has concerns about the ongoing heritage management of the Mint Administration</w:t>
            </w:r>
            <w:r w:rsidR="005944F0">
              <w:rPr>
                <w:szCs w:val="22"/>
              </w:rPr>
              <w:t xml:space="preserve"> Building. In particular, the submitter has concerns about the potential changes to how the building is viewed from Yarra Glen. </w:t>
            </w:r>
            <w:r w:rsidR="00C638D8">
              <w:rPr>
                <w:szCs w:val="22"/>
              </w:rPr>
              <w:t xml:space="preserve">The submitter believes that the current Heritage Management Plan is weak and would like to see a review of the Heritage Management Plan prior to sale. </w:t>
            </w:r>
          </w:p>
        </w:tc>
        <w:tc>
          <w:tcPr>
            <w:tcW w:w="4190" w:type="dxa"/>
            <w:shd w:val="clear" w:color="auto" w:fill="FFFFFF" w:themeFill="background1"/>
          </w:tcPr>
          <w:p w14:paraId="045F0478" w14:textId="69FE658E" w:rsidR="00A02FFD" w:rsidRDefault="009A0F39" w:rsidP="0046456D">
            <w:pPr>
              <w:rPr>
                <w:szCs w:val="22"/>
                <w:lang w:val="en-AU"/>
              </w:rPr>
            </w:pPr>
            <w:r>
              <w:rPr>
                <w:szCs w:val="22"/>
                <w:lang w:val="en-AU"/>
              </w:rPr>
              <w:lastRenderedPageBreak/>
              <w:t xml:space="preserve">The proposed amendment includes the retention of the </w:t>
            </w:r>
            <w:r>
              <w:rPr>
                <w:i/>
                <w:szCs w:val="22"/>
                <w:lang w:val="en-AU"/>
              </w:rPr>
              <w:t xml:space="preserve">National </w:t>
            </w:r>
            <w:r w:rsidRPr="007B7822">
              <w:rPr>
                <w:i/>
              </w:rPr>
              <w:t>Capital</w:t>
            </w:r>
            <w:r>
              <w:rPr>
                <w:i/>
                <w:szCs w:val="22"/>
                <w:lang w:val="en-AU"/>
              </w:rPr>
              <w:t xml:space="preserve"> Use </w:t>
            </w:r>
            <w:r>
              <w:rPr>
                <w:szCs w:val="22"/>
                <w:lang w:val="en-AU"/>
              </w:rPr>
              <w:t xml:space="preserve">as well as the addition of </w:t>
            </w:r>
            <w:r w:rsidR="007C4E1C" w:rsidRPr="007C4E1C">
              <w:rPr>
                <w:szCs w:val="22"/>
                <w:lang w:val="en-AU"/>
              </w:rPr>
              <w:t>other uses allowing a mixed use site</w:t>
            </w:r>
            <w:r w:rsidRPr="007C4E1C">
              <w:rPr>
                <w:szCs w:val="22"/>
                <w:lang w:val="en-AU"/>
              </w:rPr>
              <w:t xml:space="preserve">. </w:t>
            </w:r>
          </w:p>
          <w:p w14:paraId="781BC9BE" w14:textId="77777777" w:rsidR="009A0F39" w:rsidRDefault="009A0F39" w:rsidP="00AB37C5">
            <w:pPr>
              <w:spacing w:before="120"/>
              <w:rPr>
                <w:szCs w:val="22"/>
                <w:lang w:val="en-AU"/>
              </w:rPr>
            </w:pPr>
          </w:p>
          <w:p w14:paraId="557EA876" w14:textId="77777777" w:rsidR="009A0F39" w:rsidRDefault="009A0F39" w:rsidP="00AB37C5">
            <w:pPr>
              <w:spacing w:before="120"/>
              <w:rPr>
                <w:szCs w:val="22"/>
                <w:lang w:val="en-AU"/>
              </w:rPr>
            </w:pPr>
          </w:p>
          <w:p w14:paraId="65604D7A" w14:textId="77777777" w:rsidR="009A0F39" w:rsidRDefault="009A0F39" w:rsidP="00AB37C5">
            <w:pPr>
              <w:spacing w:before="120"/>
              <w:rPr>
                <w:szCs w:val="22"/>
                <w:lang w:val="en-AU"/>
              </w:rPr>
            </w:pPr>
          </w:p>
          <w:p w14:paraId="718D1432" w14:textId="77777777" w:rsidR="009A0F39" w:rsidRDefault="009A0F39" w:rsidP="00AB37C5">
            <w:pPr>
              <w:spacing w:before="120"/>
              <w:rPr>
                <w:szCs w:val="22"/>
                <w:lang w:val="en-AU"/>
              </w:rPr>
            </w:pPr>
          </w:p>
          <w:p w14:paraId="14B22428" w14:textId="77777777" w:rsidR="009A0F39" w:rsidRDefault="009A0F39" w:rsidP="00767C87">
            <w:pPr>
              <w:spacing w:before="120"/>
            </w:pPr>
            <w:r w:rsidRPr="001D11A4">
              <w:t xml:space="preserve">In addition to </w:t>
            </w:r>
            <w:r w:rsidR="00767C87" w:rsidRPr="001D11A4">
              <w:t xml:space="preserve">the </w:t>
            </w:r>
            <w:r w:rsidR="00767C87">
              <w:t xml:space="preserve">existing </w:t>
            </w:r>
            <w:r w:rsidRPr="001D11A4">
              <w:t>Heritage Management Plan</w:t>
            </w:r>
            <w:r w:rsidR="00767C87">
              <w:t xml:space="preserve"> (HMP), further</w:t>
            </w:r>
            <w:r w:rsidRPr="001D11A4">
              <w:t xml:space="preserve"> heritage </w:t>
            </w:r>
            <w:r w:rsidR="00F374C8">
              <w:t>requirements</w:t>
            </w:r>
            <w:r w:rsidRPr="001D11A4">
              <w:t xml:space="preserve"> are </w:t>
            </w:r>
            <w:r w:rsidR="00767C87">
              <w:t>included</w:t>
            </w:r>
            <w:r w:rsidRPr="001D11A4">
              <w:t xml:space="preserve"> in the </w:t>
            </w:r>
            <w:r w:rsidR="00F374C8">
              <w:t xml:space="preserve">draft </w:t>
            </w:r>
            <w:r w:rsidRPr="001D11A4">
              <w:t>Crown Lease.</w:t>
            </w:r>
            <w:r w:rsidR="00767C87">
              <w:t xml:space="preserve"> These include the requirement for a review of the HMP within the first 12 months of the Lease and every five years thereafter.</w:t>
            </w:r>
            <w:r w:rsidR="00D647DA">
              <w:t xml:space="preserve"> </w:t>
            </w:r>
          </w:p>
          <w:p w14:paraId="3ADAF144" w14:textId="328C0FE2" w:rsidR="00D647DA" w:rsidRPr="009A0F39" w:rsidRDefault="00D647DA" w:rsidP="00767C87">
            <w:pPr>
              <w:spacing w:before="120"/>
              <w:rPr>
                <w:szCs w:val="22"/>
                <w:lang w:val="en-AU"/>
              </w:rPr>
            </w:pPr>
            <w:r>
              <w:t xml:space="preserve">The Lessee is required to not contravene the HMP and is </w:t>
            </w:r>
            <w:r w:rsidR="00FD17BC">
              <w:t xml:space="preserve">also required </w:t>
            </w:r>
            <w:r>
              <w:t xml:space="preserve">to occupy, use and manage the place to protect and conserve its heritage value. </w:t>
            </w:r>
          </w:p>
        </w:tc>
      </w:tr>
      <w:tr w:rsidR="00C638D8" w:rsidRPr="007F5816" w14:paraId="496E7371" w14:textId="77777777" w:rsidTr="00C638D8">
        <w:tc>
          <w:tcPr>
            <w:tcW w:w="645" w:type="dxa"/>
            <w:shd w:val="clear" w:color="auto" w:fill="F2F2F2" w:themeFill="background1" w:themeFillShade="F2"/>
          </w:tcPr>
          <w:p w14:paraId="792D330D" w14:textId="094CB301" w:rsidR="00C638D8" w:rsidRDefault="00C638D8" w:rsidP="00AB37C5">
            <w:pPr>
              <w:spacing w:before="120" w:line="240" w:lineRule="exact"/>
              <w:rPr>
                <w:sz w:val="24"/>
                <w:lang w:val="en-AU"/>
              </w:rPr>
            </w:pPr>
            <w:r>
              <w:rPr>
                <w:sz w:val="24"/>
                <w:lang w:val="en-AU"/>
              </w:rPr>
              <w:lastRenderedPageBreak/>
              <w:t>3</w:t>
            </w:r>
          </w:p>
        </w:tc>
        <w:tc>
          <w:tcPr>
            <w:tcW w:w="2310" w:type="dxa"/>
            <w:shd w:val="clear" w:color="auto" w:fill="F2F2F2" w:themeFill="background1" w:themeFillShade="F2"/>
          </w:tcPr>
          <w:p w14:paraId="560C8517" w14:textId="61391E49" w:rsidR="00C638D8" w:rsidRDefault="00C638D8" w:rsidP="00AB37C5">
            <w:pPr>
              <w:spacing w:before="120"/>
              <w:rPr>
                <w:lang w:val="en-AU"/>
              </w:rPr>
            </w:pPr>
            <w:r>
              <w:rPr>
                <w:lang w:val="en-AU"/>
              </w:rPr>
              <w:t xml:space="preserve">Ben </w:t>
            </w:r>
            <w:proofErr w:type="spellStart"/>
            <w:r>
              <w:rPr>
                <w:lang w:val="en-AU"/>
              </w:rPr>
              <w:t>Ponton</w:t>
            </w:r>
            <w:proofErr w:type="spellEnd"/>
            <w:r>
              <w:rPr>
                <w:lang w:val="en-AU"/>
              </w:rPr>
              <w:t xml:space="preserve">, Director-General of Environment, Planning and Sustainable Development Directorate  </w:t>
            </w:r>
          </w:p>
        </w:tc>
        <w:tc>
          <w:tcPr>
            <w:tcW w:w="5805" w:type="dxa"/>
            <w:shd w:val="clear" w:color="auto" w:fill="F2F2F2" w:themeFill="background1" w:themeFillShade="F2"/>
          </w:tcPr>
          <w:p w14:paraId="136782A2" w14:textId="77777777" w:rsidR="00A45978" w:rsidRDefault="00C638D8" w:rsidP="0046456D">
            <w:pPr>
              <w:rPr>
                <w:szCs w:val="22"/>
              </w:rPr>
            </w:pPr>
            <w:r>
              <w:rPr>
                <w:szCs w:val="22"/>
              </w:rPr>
              <w:t xml:space="preserve">The submitter is supportive of the proposed amendment </w:t>
            </w:r>
            <w:r w:rsidR="00A45978">
              <w:rPr>
                <w:szCs w:val="22"/>
              </w:rPr>
              <w:t xml:space="preserve">and welcomes the preparation of a Heritage Management Plan by the Department of Finance. </w:t>
            </w:r>
          </w:p>
          <w:p w14:paraId="395A9780" w14:textId="1B75F631" w:rsidR="00C638D8" w:rsidRDefault="00A45978" w:rsidP="009219A1">
            <w:pPr>
              <w:spacing w:before="120"/>
              <w:rPr>
                <w:szCs w:val="22"/>
              </w:rPr>
            </w:pPr>
            <w:r>
              <w:rPr>
                <w:szCs w:val="22"/>
              </w:rPr>
              <w:t xml:space="preserve">The submitter is also pleased that relevant covenants and provisions will be included in the Crown Lease and sale documentation to ensure the heritage values are protected. </w:t>
            </w:r>
          </w:p>
        </w:tc>
        <w:tc>
          <w:tcPr>
            <w:tcW w:w="4190" w:type="dxa"/>
            <w:shd w:val="clear" w:color="auto" w:fill="F2F2F2" w:themeFill="background1" w:themeFillShade="F2"/>
          </w:tcPr>
          <w:p w14:paraId="6372E2AA" w14:textId="0D04B1C0" w:rsidR="00C638D8" w:rsidRPr="00306334" w:rsidRDefault="009A0F39" w:rsidP="0046456D">
            <w:pPr>
              <w:rPr>
                <w:szCs w:val="22"/>
                <w:lang w:val="en-AU"/>
              </w:rPr>
            </w:pPr>
            <w:r w:rsidRPr="0046456D">
              <w:rPr>
                <w:szCs w:val="22"/>
              </w:rPr>
              <w:t>Noted</w:t>
            </w:r>
            <w:r>
              <w:rPr>
                <w:szCs w:val="22"/>
                <w:lang w:val="en-AU"/>
              </w:rPr>
              <w:t xml:space="preserve">. </w:t>
            </w:r>
          </w:p>
        </w:tc>
      </w:tr>
    </w:tbl>
    <w:p w14:paraId="74BC63C3" w14:textId="77777777" w:rsidR="00BA40AD" w:rsidRPr="00FD5699" w:rsidRDefault="00BA40AD">
      <w:pPr>
        <w:rPr>
          <w:lang w:val="en-AU"/>
        </w:rPr>
      </w:pPr>
    </w:p>
    <w:sectPr w:rsidR="00BA40AD" w:rsidRPr="00FD5699" w:rsidSect="003A1CC9">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B2E0A" w14:textId="77777777" w:rsidR="00CD5E4F" w:rsidRDefault="00CD5E4F">
      <w:pPr>
        <w:spacing w:after="0"/>
      </w:pPr>
      <w:r>
        <w:separator/>
      </w:r>
    </w:p>
  </w:endnote>
  <w:endnote w:type="continuationSeparator" w:id="0">
    <w:p w14:paraId="55DF955B" w14:textId="77777777" w:rsidR="00CD5E4F" w:rsidRDefault="00CD5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N-Regular">
    <w:altName w:val="DI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3FCD" w14:textId="77777777" w:rsidR="007A1896" w:rsidRDefault="007A1896" w:rsidP="003A1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2753C" w14:textId="77777777" w:rsidR="007A1896" w:rsidRDefault="007A1896" w:rsidP="003A1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4EDF" w14:textId="3F355565" w:rsidR="007A1896" w:rsidRDefault="007A1896" w:rsidP="003A1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755">
      <w:rPr>
        <w:rStyle w:val="PageNumber"/>
        <w:noProof/>
      </w:rPr>
      <w:t>9</w:t>
    </w:r>
    <w:r>
      <w:rPr>
        <w:rStyle w:val="PageNumber"/>
      </w:rPr>
      <w:fldChar w:fldCharType="end"/>
    </w:r>
  </w:p>
  <w:p w14:paraId="5D0695E7" w14:textId="77777777" w:rsidR="007A1896" w:rsidRDefault="007A1896" w:rsidP="003A1C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B0F89" w14:textId="77777777" w:rsidR="00CD5E4F" w:rsidRDefault="00CD5E4F">
      <w:pPr>
        <w:spacing w:after="0"/>
      </w:pPr>
      <w:r>
        <w:separator/>
      </w:r>
    </w:p>
  </w:footnote>
  <w:footnote w:type="continuationSeparator" w:id="0">
    <w:p w14:paraId="59691468" w14:textId="77777777" w:rsidR="00CD5E4F" w:rsidRDefault="00CD5E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6E39" w14:textId="2908775A" w:rsidR="007A1896" w:rsidRPr="00480F89" w:rsidRDefault="007A1896" w:rsidP="00480F89">
    <w:pPr>
      <w:rPr>
        <w:bCs/>
        <w:color w:val="221E1F"/>
        <w:sz w:val="20"/>
        <w:szCs w:val="20"/>
      </w:rPr>
    </w:pPr>
    <w:r w:rsidRPr="006633FB">
      <w:rPr>
        <w:sz w:val="20"/>
        <w:szCs w:val="20"/>
      </w:rPr>
      <w:t>D</w:t>
    </w:r>
    <w:r w:rsidR="00A02C6D">
      <w:rPr>
        <w:sz w:val="20"/>
        <w:szCs w:val="20"/>
      </w:rPr>
      <w:t>raft Amendment 90</w:t>
    </w:r>
    <w:r>
      <w:rPr>
        <w:sz w:val="20"/>
        <w:szCs w:val="20"/>
      </w:rPr>
      <w:t xml:space="preserve"> –</w:t>
    </w:r>
    <w:r w:rsidR="00F37707">
      <w:rPr>
        <w:sz w:val="20"/>
        <w:szCs w:val="20"/>
      </w:rPr>
      <w:t xml:space="preserve"> </w:t>
    </w:r>
    <w:r w:rsidR="00F37707" w:rsidRPr="00F37707">
      <w:rPr>
        <w:bCs/>
        <w:color w:val="221E1F"/>
        <w:sz w:val="20"/>
        <w:szCs w:val="20"/>
      </w:rPr>
      <w:t>Mint Administration Building</w:t>
    </w:r>
  </w:p>
  <w:p w14:paraId="5CBD2725" w14:textId="77777777" w:rsidR="007A1896" w:rsidRPr="006633FB" w:rsidRDefault="007A189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50A"/>
    <w:multiLevelType w:val="hybridMultilevel"/>
    <w:tmpl w:val="B9D4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D1C27"/>
    <w:multiLevelType w:val="hybridMultilevel"/>
    <w:tmpl w:val="C0040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E13CFD"/>
    <w:multiLevelType w:val="hybridMultilevel"/>
    <w:tmpl w:val="BF465A18"/>
    <w:lvl w:ilvl="0" w:tplc="7228E658">
      <w:start w:val="1"/>
      <w:numFmt w:val="bullet"/>
      <w:lvlText w:val="-"/>
      <w:lvlJc w:val="left"/>
      <w:pPr>
        <w:ind w:left="720" w:hanging="360"/>
      </w:pPr>
      <w:rPr>
        <w:rFonts w:ascii="Courier New" w:hAnsi="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7E93078"/>
    <w:multiLevelType w:val="hybridMultilevel"/>
    <w:tmpl w:val="F1A4E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F1E96"/>
    <w:multiLevelType w:val="hybridMultilevel"/>
    <w:tmpl w:val="5000A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8C65B7"/>
    <w:multiLevelType w:val="hybridMultilevel"/>
    <w:tmpl w:val="EDC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A1275"/>
    <w:multiLevelType w:val="hybridMultilevel"/>
    <w:tmpl w:val="A248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746DC"/>
    <w:multiLevelType w:val="hybridMultilevel"/>
    <w:tmpl w:val="73B0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C7172"/>
    <w:multiLevelType w:val="hybridMultilevel"/>
    <w:tmpl w:val="044080E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15435BD2"/>
    <w:multiLevelType w:val="hybridMultilevel"/>
    <w:tmpl w:val="BC266CA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0" w15:restartNumberingAfterBreak="0">
    <w:nsid w:val="223F720A"/>
    <w:multiLevelType w:val="hybridMultilevel"/>
    <w:tmpl w:val="7AA0E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A0697"/>
    <w:multiLevelType w:val="hybridMultilevel"/>
    <w:tmpl w:val="FBA22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93582"/>
    <w:multiLevelType w:val="hybridMultilevel"/>
    <w:tmpl w:val="D6367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17C80"/>
    <w:multiLevelType w:val="hybridMultilevel"/>
    <w:tmpl w:val="64CA1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99841F7"/>
    <w:multiLevelType w:val="hybridMultilevel"/>
    <w:tmpl w:val="D7FA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0F2605"/>
    <w:multiLevelType w:val="hybridMultilevel"/>
    <w:tmpl w:val="AE5EF8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17C3876"/>
    <w:multiLevelType w:val="hybridMultilevel"/>
    <w:tmpl w:val="6DF02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7D706D"/>
    <w:multiLevelType w:val="hybridMultilevel"/>
    <w:tmpl w:val="A0042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5A6A16"/>
    <w:multiLevelType w:val="hybridMultilevel"/>
    <w:tmpl w:val="5100B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C97219"/>
    <w:multiLevelType w:val="hybridMultilevel"/>
    <w:tmpl w:val="D05AB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39680C"/>
    <w:multiLevelType w:val="multilevel"/>
    <w:tmpl w:val="B4F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D47C1"/>
    <w:multiLevelType w:val="hybridMultilevel"/>
    <w:tmpl w:val="4E6AAA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67DDB"/>
    <w:multiLevelType w:val="hybridMultilevel"/>
    <w:tmpl w:val="279E6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073269"/>
    <w:multiLevelType w:val="hybridMultilevel"/>
    <w:tmpl w:val="211EF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9B6EAB"/>
    <w:multiLevelType w:val="hybridMultilevel"/>
    <w:tmpl w:val="B48AA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6706F5"/>
    <w:multiLevelType w:val="hybridMultilevel"/>
    <w:tmpl w:val="4DBEC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7231A2"/>
    <w:multiLevelType w:val="multilevel"/>
    <w:tmpl w:val="AFB40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4"/>
  </w:num>
  <w:num w:numId="3">
    <w:abstractNumId w:val="3"/>
  </w:num>
  <w:num w:numId="4">
    <w:abstractNumId w:val="26"/>
  </w:num>
  <w:num w:numId="5">
    <w:abstractNumId w:val="20"/>
  </w:num>
  <w:num w:numId="6">
    <w:abstractNumId w:val="23"/>
  </w:num>
  <w:num w:numId="7">
    <w:abstractNumId w:val="9"/>
  </w:num>
  <w:num w:numId="8">
    <w:abstractNumId w:val="1"/>
  </w:num>
  <w:num w:numId="9">
    <w:abstractNumId w:val="24"/>
  </w:num>
  <w:num w:numId="10">
    <w:abstractNumId w:val="12"/>
  </w:num>
  <w:num w:numId="11">
    <w:abstractNumId w:val="21"/>
  </w:num>
  <w:num w:numId="12">
    <w:abstractNumId w:val="5"/>
  </w:num>
  <w:num w:numId="13">
    <w:abstractNumId w:val="0"/>
  </w:num>
  <w:num w:numId="14">
    <w:abstractNumId w:val="6"/>
  </w:num>
  <w:num w:numId="15">
    <w:abstractNumId w:val="25"/>
  </w:num>
  <w:num w:numId="16">
    <w:abstractNumId w:val="19"/>
  </w:num>
  <w:num w:numId="17">
    <w:abstractNumId w:val="22"/>
  </w:num>
  <w:num w:numId="18">
    <w:abstractNumId w:val="17"/>
  </w:num>
  <w:num w:numId="19">
    <w:abstractNumId w:val="7"/>
  </w:num>
  <w:num w:numId="20">
    <w:abstractNumId w:val="2"/>
  </w:num>
  <w:num w:numId="21">
    <w:abstractNumId w:val="1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
  </w:num>
  <w:num w:numId="25">
    <w:abstractNumId w:val="15"/>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C9"/>
    <w:rsid w:val="00005DA3"/>
    <w:rsid w:val="0001386B"/>
    <w:rsid w:val="000402A2"/>
    <w:rsid w:val="00043DFD"/>
    <w:rsid w:val="00044BEA"/>
    <w:rsid w:val="00074C71"/>
    <w:rsid w:val="000B1CBD"/>
    <w:rsid w:val="000C0307"/>
    <w:rsid w:val="000D7E1C"/>
    <w:rsid w:val="000E2E91"/>
    <w:rsid w:val="000F4383"/>
    <w:rsid w:val="000F6577"/>
    <w:rsid w:val="00107BB6"/>
    <w:rsid w:val="00120CBD"/>
    <w:rsid w:val="00131CAA"/>
    <w:rsid w:val="001327CF"/>
    <w:rsid w:val="001357D4"/>
    <w:rsid w:val="00146910"/>
    <w:rsid w:val="00157506"/>
    <w:rsid w:val="00177FCF"/>
    <w:rsid w:val="00180EC7"/>
    <w:rsid w:val="00190726"/>
    <w:rsid w:val="001A465B"/>
    <w:rsid w:val="001A55C5"/>
    <w:rsid w:val="001A61B0"/>
    <w:rsid w:val="001B3E8E"/>
    <w:rsid w:val="001B4F89"/>
    <w:rsid w:val="001B6D7D"/>
    <w:rsid w:val="001D11A4"/>
    <w:rsid w:val="0020602A"/>
    <w:rsid w:val="00216A9C"/>
    <w:rsid w:val="002170BD"/>
    <w:rsid w:val="00233639"/>
    <w:rsid w:val="00241BF1"/>
    <w:rsid w:val="002525BF"/>
    <w:rsid w:val="00265866"/>
    <w:rsid w:val="00273A40"/>
    <w:rsid w:val="00276277"/>
    <w:rsid w:val="00284B98"/>
    <w:rsid w:val="00295EA3"/>
    <w:rsid w:val="002A6B3B"/>
    <w:rsid w:val="002D19F2"/>
    <w:rsid w:val="002D29B7"/>
    <w:rsid w:val="002D2BA2"/>
    <w:rsid w:val="002D6014"/>
    <w:rsid w:val="00306334"/>
    <w:rsid w:val="003135BA"/>
    <w:rsid w:val="00334D82"/>
    <w:rsid w:val="00347D25"/>
    <w:rsid w:val="00350B77"/>
    <w:rsid w:val="003516AD"/>
    <w:rsid w:val="003603AE"/>
    <w:rsid w:val="003623A4"/>
    <w:rsid w:val="00370710"/>
    <w:rsid w:val="003708F9"/>
    <w:rsid w:val="00381F99"/>
    <w:rsid w:val="003A1CC9"/>
    <w:rsid w:val="003A59E8"/>
    <w:rsid w:val="003A756B"/>
    <w:rsid w:val="003B77CA"/>
    <w:rsid w:val="003D269E"/>
    <w:rsid w:val="0040428F"/>
    <w:rsid w:val="00405D16"/>
    <w:rsid w:val="004072EF"/>
    <w:rsid w:val="00417B76"/>
    <w:rsid w:val="00420F26"/>
    <w:rsid w:val="00453EAE"/>
    <w:rsid w:val="0045423A"/>
    <w:rsid w:val="0046456D"/>
    <w:rsid w:val="00480F89"/>
    <w:rsid w:val="00485339"/>
    <w:rsid w:val="00493722"/>
    <w:rsid w:val="004B0348"/>
    <w:rsid w:val="004C089E"/>
    <w:rsid w:val="004F2F3B"/>
    <w:rsid w:val="00511EF3"/>
    <w:rsid w:val="00515060"/>
    <w:rsid w:val="005169FD"/>
    <w:rsid w:val="00536078"/>
    <w:rsid w:val="00536FEE"/>
    <w:rsid w:val="005533B2"/>
    <w:rsid w:val="00553BCC"/>
    <w:rsid w:val="005601B1"/>
    <w:rsid w:val="005655CC"/>
    <w:rsid w:val="005660CB"/>
    <w:rsid w:val="005677D5"/>
    <w:rsid w:val="005944F0"/>
    <w:rsid w:val="005A5E13"/>
    <w:rsid w:val="005B20B5"/>
    <w:rsid w:val="005D3924"/>
    <w:rsid w:val="005D6989"/>
    <w:rsid w:val="005F03C8"/>
    <w:rsid w:val="00604B5A"/>
    <w:rsid w:val="00606E79"/>
    <w:rsid w:val="006168E4"/>
    <w:rsid w:val="00634F64"/>
    <w:rsid w:val="00636EA1"/>
    <w:rsid w:val="00652819"/>
    <w:rsid w:val="00653402"/>
    <w:rsid w:val="00656477"/>
    <w:rsid w:val="00672221"/>
    <w:rsid w:val="006749FD"/>
    <w:rsid w:val="00685338"/>
    <w:rsid w:val="00690ED9"/>
    <w:rsid w:val="00695C3A"/>
    <w:rsid w:val="006B11C3"/>
    <w:rsid w:val="006D479F"/>
    <w:rsid w:val="006D5B6D"/>
    <w:rsid w:val="006F4813"/>
    <w:rsid w:val="007035F7"/>
    <w:rsid w:val="00711B04"/>
    <w:rsid w:val="007129D1"/>
    <w:rsid w:val="00745BD8"/>
    <w:rsid w:val="00746995"/>
    <w:rsid w:val="0074700C"/>
    <w:rsid w:val="007573DE"/>
    <w:rsid w:val="00763958"/>
    <w:rsid w:val="00767C87"/>
    <w:rsid w:val="00773CA0"/>
    <w:rsid w:val="00795A6E"/>
    <w:rsid w:val="00796B3C"/>
    <w:rsid w:val="007A1896"/>
    <w:rsid w:val="007A30D9"/>
    <w:rsid w:val="007B05FB"/>
    <w:rsid w:val="007B1F76"/>
    <w:rsid w:val="007B5A33"/>
    <w:rsid w:val="007B7822"/>
    <w:rsid w:val="007C4E1C"/>
    <w:rsid w:val="007C7587"/>
    <w:rsid w:val="007D79B2"/>
    <w:rsid w:val="007D7E6D"/>
    <w:rsid w:val="007F5816"/>
    <w:rsid w:val="0080124B"/>
    <w:rsid w:val="0080613A"/>
    <w:rsid w:val="00815D36"/>
    <w:rsid w:val="00816D6E"/>
    <w:rsid w:val="008428B2"/>
    <w:rsid w:val="00847DC3"/>
    <w:rsid w:val="0085170A"/>
    <w:rsid w:val="00862A9A"/>
    <w:rsid w:val="00884102"/>
    <w:rsid w:val="0088640F"/>
    <w:rsid w:val="00886BA5"/>
    <w:rsid w:val="00891616"/>
    <w:rsid w:val="008917FF"/>
    <w:rsid w:val="008C49DD"/>
    <w:rsid w:val="008E1028"/>
    <w:rsid w:val="008E2980"/>
    <w:rsid w:val="00915EC1"/>
    <w:rsid w:val="009219A1"/>
    <w:rsid w:val="00933083"/>
    <w:rsid w:val="009550CE"/>
    <w:rsid w:val="00965DC2"/>
    <w:rsid w:val="00970B12"/>
    <w:rsid w:val="009815E1"/>
    <w:rsid w:val="00982AA4"/>
    <w:rsid w:val="0098367B"/>
    <w:rsid w:val="009A0F39"/>
    <w:rsid w:val="009A6481"/>
    <w:rsid w:val="009A6AD0"/>
    <w:rsid w:val="009B21A1"/>
    <w:rsid w:val="009B5E5F"/>
    <w:rsid w:val="009C0765"/>
    <w:rsid w:val="009F4358"/>
    <w:rsid w:val="009F6F00"/>
    <w:rsid w:val="00A02041"/>
    <w:rsid w:val="00A02C6D"/>
    <w:rsid w:val="00A02FFD"/>
    <w:rsid w:val="00A13494"/>
    <w:rsid w:val="00A14F64"/>
    <w:rsid w:val="00A15B7E"/>
    <w:rsid w:val="00A26801"/>
    <w:rsid w:val="00A35339"/>
    <w:rsid w:val="00A45978"/>
    <w:rsid w:val="00A50B48"/>
    <w:rsid w:val="00A57981"/>
    <w:rsid w:val="00A60342"/>
    <w:rsid w:val="00A66914"/>
    <w:rsid w:val="00A77481"/>
    <w:rsid w:val="00A84D04"/>
    <w:rsid w:val="00A905DA"/>
    <w:rsid w:val="00A96405"/>
    <w:rsid w:val="00AA2983"/>
    <w:rsid w:val="00AB113B"/>
    <w:rsid w:val="00AB37C5"/>
    <w:rsid w:val="00AB5DEE"/>
    <w:rsid w:val="00AC14E0"/>
    <w:rsid w:val="00AE6CB3"/>
    <w:rsid w:val="00AF0E58"/>
    <w:rsid w:val="00B0329C"/>
    <w:rsid w:val="00B04AF2"/>
    <w:rsid w:val="00B2678B"/>
    <w:rsid w:val="00B3592B"/>
    <w:rsid w:val="00B47C82"/>
    <w:rsid w:val="00B50FB8"/>
    <w:rsid w:val="00B549C7"/>
    <w:rsid w:val="00B5785D"/>
    <w:rsid w:val="00B65237"/>
    <w:rsid w:val="00B655F1"/>
    <w:rsid w:val="00B8532D"/>
    <w:rsid w:val="00BA3274"/>
    <w:rsid w:val="00BA40AD"/>
    <w:rsid w:val="00BC701D"/>
    <w:rsid w:val="00C00584"/>
    <w:rsid w:val="00C12005"/>
    <w:rsid w:val="00C21C36"/>
    <w:rsid w:val="00C3174E"/>
    <w:rsid w:val="00C320FB"/>
    <w:rsid w:val="00C43D7F"/>
    <w:rsid w:val="00C457E0"/>
    <w:rsid w:val="00C638D8"/>
    <w:rsid w:val="00C81809"/>
    <w:rsid w:val="00C83A32"/>
    <w:rsid w:val="00C846D2"/>
    <w:rsid w:val="00C853E1"/>
    <w:rsid w:val="00C877C1"/>
    <w:rsid w:val="00CB0AE9"/>
    <w:rsid w:val="00CD5E4F"/>
    <w:rsid w:val="00CD62E9"/>
    <w:rsid w:val="00CD6342"/>
    <w:rsid w:val="00CE2080"/>
    <w:rsid w:val="00CF5B10"/>
    <w:rsid w:val="00D059BB"/>
    <w:rsid w:val="00D063DC"/>
    <w:rsid w:val="00D1053E"/>
    <w:rsid w:val="00D2190F"/>
    <w:rsid w:val="00D37877"/>
    <w:rsid w:val="00D52493"/>
    <w:rsid w:val="00D55788"/>
    <w:rsid w:val="00D647DA"/>
    <w:rsid w:val="00D93F13"/>
    <w:rsid w:val="00DA3A7C"/>
    <w:rsid w:val="00DA5E07"/>
    <w:rsid w:val="00DB563C"/>
    <w:rsid w:val="00DC4907"/>
    <w:rsid w:val="00DD0A55"/>
    <w:rsid w:val="00DD5423"/>
    <w:rsid w:val="00DE22C3"/>
    <w:rsid w:val="00DE427E"/>
    <w:rsid w:val="00DF33A2"/>
    <w:rsid w:val="00E022BA"/>
    <w:rsid w:val="00E034C0"/>
    <w:rsid w:val="00E06AC7"/>
    <w:rsid w:val="00E17063"/>
    <w:rsid w:val="00E4084C"/>
    <w:rsid w:val="00E436BB"/>
    <w:rsid w:val="00E60ECA"/>
    <w:rsid w:val="00EA1477"/>
    <w:rsid w:val="00EE1D2C"/>
    <w:rsid w:val="00EE430F"/>
    <w:rsid w:val="00F0555B"/>
    <w:rsid w:val="00F22755"/>
    <w:rsid w:val="00F23CC8"/>
    <w:rsid w:val="00F32C08"/>
    <w:rsid w:val="00F36BF7"/>
    <w:rsid w:val="00F374C8"/>
    <w:rsid w:val="00F37707"/>
    <w:rsid w:val="00F4639E"/>
    <w:rsid w:val="00F50783"/>
    <w:rsid w:val="00F546FE"/>
    <w:rsid w:val="00F5626B"/>
    <w:rsid w:val="00F604D1"/>
    <w:rsid w:val="00F60C1F"/>
    <w:rsid w:val="00F6545B"/>
    <w:rsid w:val="00F93FA5"/>
    <w:rsid w:val="00F94946"/>
    <w:rsid w:val="00FA3E8F"/>
    <w:rsid w:val="00FB04B0"/>
    <w:rsid w:val="00FD17BC"/>
    <w:rsid w:val="00FD5699"/>
    <w:rsid w:val="00FE6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EEA52"/>
  <w15:chartTrackingRefBased/>
  <w15:docId w15:val="{01967CB3-B8AE-47D6-9C01-E27EFF93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FCF"/>
    <w:pPr>
      <w:spacing w:after="120"/>
    </w:pPr>
    <w:rPr>
      <w:rFonts w:ascii="Calibri" w:hAnsi="Calibri"/>
      <w:sz w:val="22"/>
      <w:szCs w:val="24"/>
      <w:lang w:val="en-US" w:eastAsia="en-US"/>
    </w:rPr>
  </w:style>
  <w:style w:type="paragraph" w:styleId="Heading1">
    <w:name w:val="heading 1"/>
    <w:basedOn w:val="Normal"/>
    <w:next w:val="Normal"/>
    <w:qFormat/>
    <w:rsid w:val="003A1CC9"/>
    <w:pPr>
      <w:keepNext/>
      <w:spacing w:before="240" w:after="60"/>
      <w:outlineLvl w:val="0"/>
    </w:pPr>
    <w:rPr>
      <w:rFonts w:cs="Arial"/>
      <w:b/>
      <w:bCs/>
      <w:kern w:val="32"/>
      <w:sz w:val="36"/>
      <w:szCs w:val="32"/>
    </w:rPr>
  </w:style>
  <w:style w:type="paragraph" w:styleId="Heading2">
    <w:name w:val="heading 2"/>
    <w:basedOn w:val="Normal"/>
    <w:next w:val="Normal"/>
    <w:link w:val="Heading2Char"/>
    <w:qFormat/>
    <w:rsid w:val="003A1CC9"/>
    <w:pPr>
      <w:keepNext/>
      <w:spacing w:before="240" w:after="60"/>
      <w:outlineLvl w:val="1"/>
    </w:pPr>
    <w:rPr>
      <w:rFonts w:cs="Arial"/>
      <w:b/>
      <w:bCs/>
      <w:iCs/>
      <w:sz w:val="32"/>
      <w:szCs w:val="28"/>
    </w:rPr>
  </w:style>
  <w:style w:type="paragraph" w:styleId="Heading3">
    <w:name w:val="heading 3"/>
    <w:basedOn w:val="Normal"/>
    <w:next w:val="Normal"/>
    <w:link w:val="Heading3Char"/>
    <w:qFormat/>
    <w:rsid w:val="003A1CC9"/>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1CC9"/>
    <w:pPr>
      <w:tabs>
        <w:tab w:val="center" w:pos="4320"/>
        <w:tab w:val="right" w:pos="8640"/>
      </w:tabs>
      <w:spacing w:after="0"/>
    </w:pPr>
  </w:style>
  <w:style w:type="character" w:styleId="PageNumber">
    <w:name w:val="page number"/>
    <w:rsid w:val="003A1CC9"/>
    <w:rPr>
      <w:rFonts w:ascii="Cambria" w:hAnsi="Cambria"/>
      <w:sz w:val="22"/>
    </w:rPr>
  </w:style>
  <w:style w:type="paragraph" w:styleId="Header">
    <w:name w:val="header"/>
    <w:basedOn w:val="Normal"/>
    <w:rsid w:val="003A1CC9"/>
    <w:pPr>
      <w:tabs>
        <w:tab w:val="center" w:pos="4320"/>
        <w:tab w:val="right" w:pos="8640"/>
      </w:tabs>
      <w:spacing w:after="0"/>
    </w:pPr>
  </w:style>
  <w:style w:type="table" w:styleId="TableGrid">
    <w:name w:val="Table Grid"/>
    <w:basedOn w:val="TableNormal"/>
    <w:rsid w:val="003A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A1CC9"/>
  </w:style>
  <w:style w:type="paragraph" w:styleId="TOC2">
    <w:name w:val="toc 2"/>
    <w:basedOn w:val="Normal"/>
    <w:next w:val="Normal"/>
    <w:autoRedefine/>
    <w:uiPriority w:val="39"/>
    <w:rsid w:val="003A1CC9"/>
    <w:pPr>
      <w:ind w:left="220"/>
    </w:pPr>
  </w:style>
  <w:style w:type="character" w:styleId="Hyperlink">
    <w:name w:val="Hyperlink"/>
    <w:uiPriority w:val="99"/>
    <w:rsid w:val="003A1CC9"/>
    <w:rPr>
      <w:color w:val="0000FF"/>
      <w:u w:val="single"/>
    </w:rPr>
  </w:style>
  <w:style w:type="character" w:customStyle="1" w:styleId="Heading3Char">
    <w:name w:val="Heading 3 Char"/>
    <w:link w:val="Heading3"/>
    <w:rsid w:val="003A1CC9"/>
    <w:rPr>
      <w:rFonts w:ascii="Calibri" w:hAnsi="Calibri" w:cs="Arial"/>
      <w:b/>
      <w:bCs/>
      <w:sz w:val="28"/>
      <w:szCs w:val="26"/>
      <w:lang w:val="en-US" w:eastAsia="en-US" w:bidi="ar-SA"/>
    </w:rPr>
  </w:style>
  <w:style w:type="paragraph" w:styleId="TOC3">
    <w:name w:val="toc 3"/>
    <w:basedOn w:val="Normal"/>
    <w:next w:val="Normal"/>
    <w:autoRedefine/>
    <w:uiPriority w:val="39"/>
    <w:rsid w:val="005F03C8"/>
    <w:pPr>
      <w:tabs>
        <w:tab w:val="right" w:leader="dot" w:pos="8636"/>
      </w:tabs>
      <w:ind w:left="142"/>
    </w:pPr>
  </w:style>
  <w:style w:type="character" w:customStyle="1" w:styleId="Heading2Char">
    <w:name w:val="Heading 2 Char"/>
    <w:link w:val="Heading2"/>
    <w:rsid w:val="003A1CC9"/>
    <w:rPr>
      <w:rFonts w:ascii="Calibri" w:hAnsi="Calibri" w:cs="Arial"/>
      <w:b/>
      <w:bCs/>
      <w:iCs/>
      <w:sz w:val="32"/>
      <w:szCs w:val="28"/>
      <w:lang w:val="en-US" w:eastAsia="en-US" w:bidi="ar-SA"/>
    </w:rPr>
  </w:style>
  <w:style w:type="paragraph" w:customStyle="1" w:styleId="Default">
    <w:name w:val="Default"/>
    <w:rsid w:val="00480F89"/>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763958"/>
    <w:pPr>
      <w:spacing w:after="0"/>
    </w:pPr>
    <w:rPr>
      <w:rFonts w:ascii="Tahoma" w:hAnsi="Tahoma" w:cs="Tahoma"/>
      <w:sz w:val="16"/>
      <w:szCs w:val="16"/>
    </w:rPr>
  </w:style>
  <w:style w:type="character" w:customStyle="1" w:styleId="BalloonTextChar">
    <w:name w:val="Balloon Text Char"/>
    <w:link w:val="BalloonText"/>
    <w:rsid w:val="00763958"/>
    <w:rPr>
      <w:rFonts w:ascii="Tahoma" w:hAnsi="Tahoma" w:cs="Tahoma"/>
      <w:sz w:val="16"/>
      <w:szCs w:val="16"/>
      <w:lang w:val="en-US" w:eastAsia="en-US"/>
    </w:rPr>
  </w:style>
  <w:style w:type="paragraph" w:styleId="TOC8">
    <w:name w:val="toc 8"/>
    <w:basedOn w:val="Normal"/>
    <w:next w:val="Normal"/>
    <w:autoRedefine/>
    <w:uiPriority w:val="39"/>
    <w:unhideWhenUsed/>
    <w:rsid w:val="000F4383"/>
    <w:pPr>
      <w:spacing w:after="100" w:line="276" w:lineRule="auto"/>
      <w:ind w:left="1540"/>
    </w:pPr>
    <w:rPr>
      <w:szCs w:val="22"/>
      <w:lang w:val="en-AU" w:eastAsia="en-AU"/>
    </w:rPr>
  </w:style>
  <w:style w:type="character" w:styleId="CommentReference">
    <w:name w:val="annotation reference"/>
    <w:rsid w:val="00970B12"/>
    <w:rPr>
      <w:sz w:val="16"/>
      <w:szCs w:val="16"/>
    </w:rPr>
  </w:style>
  <w:style w:type="paragraph" w:styleId="CommentText">
    <w:name w:val="annotation text"/>
    <w:basedOn w:val="Normal"/>
    <w:link w:val="CommentTextChar"/>
    <w:rsid w:val="00970B12"/>
    <w:rPr>
      <w:sz w:val="20"/>
      <w:szCs w:val="20"/>
    </w:rPr>
  </w:style>
  <w:style w:type="character" w:customStyle="1" w:styleId="CommentTextChar">
    <w:name w:val="Comment Text Char"/>
    <w:link w:val="CommentText"/>
    <w:rsid w:val="00970B12"/>
    <w:rPr>
      <w:rFonts w:ascii="Cambria" w:hAnsi="Cambria"/>
      <w:lang w:val="en-US" w:eastAsia="en-US"/>
    </w:rPr>
  </w:style>
  <w:style w:type="paragraph" w:styleId="CommentSubject">
    <w:name w:val="annotation subject"/>
    <w:basedOn w:val="CommentText"/>
    <w:next w:val="CommentText"/>
    <w:link w:val="CommentSubjectChar"/>
    <w:rsid w:val="00970B12"/>
    <w:rPr>
      <w:b/>
      <w:bCs/>
    </w:rPr>
  </w:style>
  <w:style w:type="character" w:customStyle="1" w:styleId="CommentSubjectChar">
    <w:name w:val="Comment Subject Char"/>
    <w:link w:val="CommentSubject"/>
    <w:rsid w:val="00970B12"/>
    <w:rPr>
      <w:rFonts w:ascii="Cambria" w:hAnsi="Cambria"/>
      <w:b/>
      <w:bCs/>
      <w:lang w:val="en-US" w:eastAsia="en-US"/>
    </w:rPr>
  </w:style>
  <w:style w:type="paragraph" w:styleId="Subtitle">
    <w:name w:val="Subtitle"/>
    <w:basedOn w:val="Normal"/>
    <w:next w:val="Normal"/>
    <w:link w:val="SubtitleChar"/>
    <w:autoRedefine/>
    <w:qFormat/>
    <w:rsid w:val="001A55C5"/>
    <w:pPr>
      <w:spacing w:after="60"/>
      <w:outlineLvl w:val="1"/>
    </w:pPr>
    <w:rPr>
      <w:rFonts w:cs="Calibri"/>
      <w:b/>
      <w:sz w:val="24"/>
      <w:lang w:val="en-AU" w:eastAsia="en-AU"/>
    </w:rPr>
  </w:style>
  <w:style w:type="character" w:customStyle="1" w:styleId="SubtitleChar">
    <w:name w:val="Subtitle Char"/>
    <w:link w:val="Subtitle"/>
    <w:rsid w:val="001A55C5"/>
    <w:rPr>
      <w:rFonts w:ascii="Calibri" w:hAnsi="Calibri" w:cs="Calibri"/>
      <w:b/>
      <w:sz w:val="24"/>
      <w:szCs w:val="24"/>
    </w:rPr>
  </w:style>
  <w:style w:type="paragraph" w:styleId="ListParagraph">
    <w:name w:val="List Paragraph"/>
    <w:basedOn w:val="Normal"/>
    <w:uiPriority w:val="34"/>
    <w:qFormat/>
    <w:rsid w:val="00F23CC8"/>
    <w:pPr>
      <w:pBdr>
        <w:top w:val="nil"/>
        <w:left w:val="nil"/>
        <w:bottom w:val="nil"/>
        <w:right w:val="nil"/>
        <w:between w:val="nil"/>
        <w:bar w:val="nil"/>
      </w:pBdr>
      <w:spacing w:before="120" w:after="0"/>
      <w:ind w:left="720"/>
      <w:contextualSpacing/>
    </w:pPr>
    <w:rPr>
      <w:rFonts w:eastAsia="Calibri" w:cs="Calibri"/>
      <w:color w:val="000000"/>
      <w:szCs w:val="22"/>
      <w:u w:color="000000"/>
      <w:bdr w:val="nil"/>
      <w:lang w:eastAsia="en-AU"/>
    </w:rPr>
  </w:style>
  <w:style w:type="paragraph" w:styleId="PlainText">
    <w:name w:val="Plain Text"/>
    <w:basedOn w:val="Normal"/>
    <w:link w:val="PlainTextChar"/>
    <w:uiPriority w:val="99"/>
    <w:unhideWhenUsed/>
    <w:rsid w:val="00D55788"/>
    <w:pPr>
      <w:spacing w:after="0"/>
    </w:pPr>
    <w:rPr>
      <w:rFonts w:ascii="Consolas" w:eastAsia="Calibri" w:hAnsi="Consolas" w:cs="Consolas"/>
      <w:sz w:val="21"/>
      <w:szCs w:val="21"/>
      <w:lang w:val="en-AU" w:eastAsia="en-AU"/>
    </w:rPr>
  </w:style>
  <w:style w:type="character" w:customStyle="1" w:styleId="PlainTextChar">
    <w:name w:val="Plain Text Char"/>
    <w:basedOn w:val="DefaultParagraphFont"/>
    <w:link w:val="PlainText"/>
    <w:uiPriority w:val="99"/>
    <w:rsid w:val="00D55788"/>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89266">
      <w:bodyDiv w:val="1"/>
      <w:marLeft w:val="0"/>
      <w:marRight w:val="0"/>
      <w:marTop w:val="0"/>
      <w:marBottom w:val="0"/>
      <w:divBdr>
        <w:top w:val="none" w:sz="0" w:space="0" w:color="auto"/>
        <w:left w:val="none" w:sz="0" w:space="0" w:color="auto"/>
        <w:bottom w:val="none" w:sz="0" w:space="0" w:color="auto"/>
        <w:right w:val="none" w:sz="0" w:space="0" w:color="auto"/>
      </w:divBdr>
    </w:div>
    <w:div w:id="510026221">
      <w:bodyDiv w:val="1"/>
      <w:marLeft w:val="0"/>
      <w:marRight w:val="0"/>
      <w:marTop w:val="0"/>
      <w:marBottom w:val="0"/>
      <w:divBdr>
        <w:top w:val="none" w:sz="0" w:space="0" w:color="auto"/>
        <w:left w:val="none" w:sz="0" w:space="0" w:color="auto"/>
        <w:bottom w:val="none" w:sz="0" w:space="0" w:color="auto"/>
        <w:right w:val="none" w:sz="0" w:space="0" w:color="auto"/>
      </w:divBdr>
    </w:div>
    <w:div w:id="730083888">
      <w:bodyDiv w:val="1"/>
      <w:marLeft w:val="0"/>
      <w:marRight w:val="0"/>
      <w:marTop w:val="0"/>
      <w:marBottom w:val="0"/>
      <w:divBdr>
        <w:top w:val="none" w:sz="0" w:space="0" w:color="auto"/>
        <w:left w:val="none" w:sz="0" w:space="0" w:color="auto"/>
        <w:bottom w:val="none" w:sz="0" w:space="0" w:color="auto"/>
        <w:right w:val="none" w:sz="0" w:space="0" w:color="auto"/>
      </w:divBdr>
    </w:div>
    <w:div w:id="1972052011">
      <w:bodyDiv w:val="1"/>
      <w:marLeft w:val="0"/>
      <w:marRight w:val="0"/>
      <w:marTop w:val="0"/>
      <w:marBottom w:val="0"/>
      <w:divBdr>
        <w:top w:val="none" w:sz="0" w:space="0" w:color="auto"/>
        <w:left w:val="none" w:sz="0" w:space="0" w:color="auto"/>
        <w:bottom w:val="none" w:sz="0" w:space="0" w:color="auto"/>
        <w:right w:val="none" w:sz="0" w:space="0" w:color="auto"/>
      </w:divBdr>
    </w:div>
    <w:div w:id="19740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C362-09BB-4609-ADA3-038271D8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1362</Words>
  <Characters>7125</Characters>
  <Application>Microsoft Office Word</Application>
  <DocSecurity>0</DocSecurity>
  <Lines>213</Lines>
  <Paragraphs>81</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8445</CharactersWithSpaces>
  <SharedDoc>false</SharedDoc>
  <HLinks>
    <vt:vector size="72" baseType="variant">
      <vt:variant>
        <vt:i4>1966128</vt:i4>
      </vt:variant>
      <vt:variant>
        <vt:i4>68</vt:i4>
      </vt:variant>
      <vt:variant>
        <vt:i4>0</vt:i4>
      </vt:variant>
      <vt:variant>
        <vt:i4>5</vt:i4>
      </vt:variant>
      <vt:variant>
        <vt:lpwstr/>
      </vt:variant>
      <vt:variant>
        <vt:lpwstr>_Toc469385599</vt:lpwstr>
      </vt:variant>
      <vt:variant>
        <vt:i4>1966128</vt:i4>
      </vt:variant>
      <vt:variant>
        <vt:i4>62</vt:i4>
      </vt:variant>
      <vt:variant>
        <vt:i4>0</vt:i4>
      </vt:variant>
      <vt:variant>
        <vt:i4>5</vt:i4>
      </vt:variant>
      <vt:variant>
        <vt:lpwstr/>
      </vt:variant>
      <vt:variant>
        <vt:lpwstr>_Toc469385598</vt:lpwstr>
      </vt:variant>
      <vt:variant>
        <vt:i4>1966128</vt:i4>
      </vt:variant>
      <vt:variant>
        <vt:i4>56</vt:i4>
      </vt:variant>
      <vt:variant>
        <vt:i4>0</vt:i4>
      </vt:variant>
      <vt:variant>
        <vt:i4>5</vt:i4>
      </vt:variant>
      <vt:variant>
        <vt:lpwstr/>
      </vt:variant>
      <vt:variant>
        <vt:lpwstr>_Toc469385597</vt:lpwstr>
      </vt:variant>
      <vt:variant>
        <vt:i4>1966128</vt:i4>
      </vt:variant>
      <vt:variant>
        <vt:i4>50</vt:i4>
      </vt:variant>
      <vt:variant>
        <vt:i4>0</vt:i4>
      </vt:variant>
      <vt:variant>
        <vt:i4>5</vt:i4>
      </vt:variant>
      <vt:variant>
        <vt:lpwstr/>
      </vt:variant>
      <vt:variant>
        <vt:lpwstr>_Toc469385596</vt:lpwstr>
      </vt:variant>
      <vt:variant>
        <vt:i4>1966128</vt:i4>
      </vt:variant>
      <vt:variant>
        <vt:i4>44</vt:i4>
      </vt:variant>
      <vt:variant>
        <vt:i4>0</vt:i4>
      </vt:variant>
      <vt:variant>
        <vt:i4>5</vt:i4>
      </vt:variant>
      <vt:variant>
        <vt:lpwstr/>
      </vt:variant>
      <vt:variant>
        <vt:lpwstr>_Toc469385595</vt:lpwstr>
      </vt:variant>
      <vt:variant>
        <vt:i4>1966128</vt:i4>
      </vt:variant>
      <vt:variant>
        <vt:i4>38</vt:i4>
      </vt:variant>
      <vt:variant>
        <vt:i4>0</vt:i4>
      </vt:variant>
      <vt:variant>
        <vt:i4>5</vt:i4>
      </vt:variant>
      <vt:variant>
        <vt:lpwstr/>
      </vt:variant>
      <vt:variant>
        <vt:lpwstr>_Toc469385594</vt:lpwstr>
      </vt:variant>
      <vt:variant>
        <vt:i4>1966128</vt:i4>
      </vt:variant>
      <vt:variant>
        <vt:i4>32</vt:i4>
      </vt:variant>
      <vt:variant>
        <vt:i4>0</vt:i4>
      </vt:variant>
      <vt:variant>
        <vt:i4>5</vt:i4>
      </vt:variant>
      <vt:variant>
        <vt:lpwstr/>
      </vt:variant>
      <vt:variant>
        <vt:lpwstr>_Toc469385593</vt:lpwstr>
      </vt:variant>
      <vt:variant>
        <vt:i4>1966128</vt:i4>
      </vt:variant>
      <vt:variant>
        <vt:i4>26</vt:i4>
      </vt:variant>
      <vt:variant>
        <vt:i4>0</vt:i4>
      </vt:variant>
      <vt:variant>
        <vt:i4>5</vt:i4>
      </vt:variant>
      <vt:variant>
        <vt:lpwstr/>
      </vt:variant>
      <vt:variant>
        <vt:lpwstr>_Toc469385592</vt:lpwstr>
      </vt:variant>
      <vt:variant>
        <vt:i4>1966128</vt:i4>
      </vt:variant>
      <vt:variant>
        <vt:i4>20</vt:i4>
      </vt:variant>
      <vt:variant>
        <vt:i4>0</vt:i4>
      </vt:variant>
      <vt:variant>
        <vt:i4>5</vt:i4>
      </vt:variant>
      <vt:variant>
        <vt:lpwstr/>
      </vt:variant>
      <vt:variant>
        <vt:lpwstr>_Toc469385591</vt:lpwstr>
      </vt:variant>
      <vt:variant>
        <vt:i4>1966128</vt:i4>
      </vt:variant>
      <vt:variant>
        <vt:i4>14</vt:i4>
      </vt:variant>
      <vt:variant>
        <vt:i4>0</vt:i4>
      </vt:variant>
      <vt:variant>
        <vt:i4>5</vt:i4>
      </vt:variant>
      <vt:variant>
        <vt:lpwstr/>
      </vt:variant>
      <vt:variant>
        <vt:lpwstr>_Toc469385590</vt:lpwstr>
      </vt:variant>
      <vt:variant>
        <vt:i4>2031664</vt:i4>
      </vt:variant>
      <vt:variant>
        <vt:i4>8</vt:i4>
      </vt:variant>
      <vt:variant>
        <vt:i4>0</vt:i4>
      </vt:variant>
      <vt:variant>
        <vt:i4>5</vt:i4>
      </vt:variant>
      <vt:variant>
        <vt:lpwstr/>
      </vt:variant>
      <vt:variant>
        <vt:lpwstr>_Toc469385589</vt:lpwstr>
      </vt:variant>
      <vt:variant>
        <vt:i4>2031664</vt:i4>
      </vt:variant>
      <vt:variant>
        <vt:i4>2</vt:i4>
      </vt:variant>
      <vt:variant>
        <vt:i4>0</vt:i4>
      </vt:variant>
      <vt:variant>
        <vt:i4>5</vt:i4>
      </vt:variant>
      <vt:variant>
        <vt:lpwstr/>
      </vt:variant>
      <vt:variant>
        <vt:lpwstr>_Toc469385588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WrightK</dc:creator>
  <cp:keywords/>
  <cp:lastModifiedBy>Rebecca Sorensen</cp:lastModifiedBy>
  <cp:revision>2</cp:revision>
  <cp:lastPrinted>2018-07-29T22:55:00Z</cp:lastPrinted>
  <dcterms:created xsi:type="dcterms:W3CDTF">2018-08-13T04:38:00Z</dcterms:created>
  <dcterms:modified xsi:type="dcterms:W3CDTF">2018-08-13T04:38:00Z</dcterms:modified>
</cp:coreProperties>
</file>