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D1" w:rsidRPr="0023603C" w:rsidRDefault="00AD2A6E" w:rsidP="00674B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87pt" fillcolor="window">
            <v:imagedata r:id="rId7" o:title=""/>
          </v:shape>
        </w:pict>
      </w:r>
    </w:p>
    <w:p w:rsidR="00451D87" w:rsidRPr="0023603C" w:rsidRDefault="00A66DA9">
      <w:pPr>
        <w:pStyle w:val="Title"/>
        <w:pBdr>
          <w:bottom w:val="single" w:sz="4" w:space="3" w:color="auto"/>
        </w:pBdr>
      </w:pPr>
      <w:r>
        <w:t>Nati</w:t>
      </w:r>
      <w:r w:rsidR="006E2318">
        <w:t xml:space="preserve">onal Capital Plan – Amendment 93 </w:t>
      </w:r>
      <w:r w:rsidR="001F73A4">
        <w:t>–</w:t>
      </w:r>
      <w:r w:rsidR="006E2318">
        <w:t xml:space="preserve"> </w:t>
      </w:r>
      <w:r w:rsidR="001F73A4">
        <w:t>City and Gateway Urban Design Provisions Technical Changes</w:t>
      </w:r>
      <w:r w:rsidR="00451D87" w:rsidRPr="0023603C">
        <w:rPr>
          <w:b w:val="0"/>
          <w:position w:val="6"/>
          <w:sz w:val="24"/>
          <w:vertAlign w:val="superscript"/>
        </w:rPr>
        <w:t>1</w:t>
      </w:r>
    </w:p>
    <w:p w:rsidR="00451D87" w:rsidRPr="0023603C" w:rsidRDefault="007E2664">
      <w:pPr>
        <w:pBdr>
          <w:bottom w:val="single" w:sz="4" w:space="3" w:color="auto"/>
        </w:pBdr>
        <w:spacing w:before="480"/>
        <w:rPr>
          <w:rFonts w:ascii="Arial" w:hAnsi="Arial" w:cs="Arial"/>
          <w:i/>
          <w:sz w:val="28"/>
          <w:szCs w:val="28"/>
          <w:lang w:val="en-US"/>
        </w:rPr>
      </w:pPr>
      <w:r>
        <w:rPr>
          <w:rFonts w:ascii="Arial" w:hAnsi="Arial" w:cs="Arial"/>
          <w:i/>
          <w:sz w:val="28"/>
          <w:szCs w:val="28"/>
          <w:lang w:val="en-US"/>
        </w:rPr>
        <w:t>Australian Capital Territory (Planning and Land Management) Act 1988</w:t>
      </w:r>
    </w:p>
    <w:p w:rsidR="00451D87" w:rsidRPr="0023603C" w:rsidRDefault="00451D87">
      <w:pPr>
        <w:spacing w:before="360"/>
        <w:jc w:val="both"/>
      </w:pPr>
      <w:r w:rsidRPr="0023603C">
        <w:t xml:space="preserve">I, </w:t>
      </w:r>
      <w:r w:rsidR="001F73A4">
        <w:t>NOLA MARINO</w:t>
      </w:r>
      <w:r w:rsidRPr="0023603C">
        <w:t xml:space="preserve">, </w:t>
      </w:r>
      <w:r w:rsidR="001F73A4">
        <w:t>Assistant Minister for Regional Development and Territories</w:t>
      </w:r>
      <w:r w:rsidRPr="0023603C">
        <w:t xml:space="preserve">, </w:t>
      </w:r>
      <w:r w:rsidR="00A66DA9">
        <w:t xml:space="preserve">approve this amendment of the National Capital Plan under section 19(1)(a) of the </w:t>
      </w:r>
      <w:r w:rsidR="00A66DA9" w:rsidRPr="00A66DA9">
        <w:rPr>
          <w:i/>
        </w:rPr>
        <w:t>Australian Capital Territory (Planning and Land Management) Act 1988.</w:t>
      </w:r>
    </w:p>
    <w:p w:rsidR="00451D87" w:rsidRPr="0023603C" w:rsidRDefault="00451D87" w:rsidP="00A66DA9">
      <w:pPr>
        <w:tabs>
          <w:tab w:val="left" w:pos="3360"/>
        </w:tabs>
        <w:spacing w:before="300" w:after="600" w:line="300" w:lineRule="exact"/>
      </w:pPr>
      <w:r w:rsidRPr="0023603C">
        <w:t xml:space="preserve">Dated </w:t>
      </w:r>
      <w:bookmarkStart w:id="0" w:name="MadeDate"/>
      <w:bookmarkStart w:id="1" w:name="Year"/>
      <w:bookmarkEnd w:id="0"/>
      <w:r w:rsidR="00D17FF9">
        <w:t xml:space="preserve">10 September </w:t>
      </w:r>
      <w:bookmarkStart w:id="2" w:name="_GoBack"/>
      <w:bookmarkEnd w:id="2"/>
      <w:r w:rsidRPr="0023603C">
        <w:t>20</w:t>
      </w:r>
      <w:bookmarkEnd w:id="1"/>
      <w:r w:rsidR="001F73A4">
        <w:t>19</w:t>
      </w:r>
    </w:p>
    <w:p w:rsidR="00451D87" w:rsidRPr="00720FF9" w:rsidRDefault="001F73A4">
      <w:pPr>
        <w:spacing w:before="1200" w:line="240" w:lineRule="exact"/>
      </w:pPr>
      <w:r>
        <w:t>NOLA MARINO</w:t>
      </w:r>
    </w:p>
    <w:p w:rsidR="00451D87" w:rsidRPr="0023603C" w:rsidRDefault="001F73A4">
      <w:pPr>
        <w:pBdr>
          <w:bottom w:val="single" w:sz="4" w:space="12" w:color="auto"/>
        </w:pBdr>
        <w:spacing w:line="240" w:lineRule="exact"/>
      </w:pPr>
      <w:r>
        <w:t>Assistant Minister for Regional Development and Territories</w:t>
      </w:r>
    </w:p>
    <w:p w:rsidR="00451D87" w:rsidRPr="0023603C" w:rsidRDefault="00451D87">
      <w:pPr>
        <w:pStyle w:val="SigningPageBreak"/>
        <w:sectPr w:rsidR="00451D87" w:rsidRPr="0023603C" w:rsidSect="007E2664">
          <w:headerReference w:type="even" r:id="rId8"/>
          <w:headerReference w:type="default" r:id="rId9"/>
          <w:footerReference w:type="even" r:id="rId10"/>
          <w:footerReference w:type="default" r:id="rId11"/>
          <w:footerReference w:type="first" r:id="rId12"/>
          <w:type w:val="continuous"/>
          <w:pgSz w:w="11907" w:h="16839" w:code="9"/>
          <w:pgMar w:top="1418" w:right="1587" w:bottom="1418" w:left="1440" w:header="709" w:footer="709" w:gutter="0"/>
          <w:cols w:space="708"/>
          <w:titlePg/>
          <w:docGrid w:linePitch="360"/>
        </w:sectPr>
      </w:pPr>
    </w:p>
    <w:p w:rsidR="00F55498" w:rsidRPr="0023603C" w:rsidRDefault="00F55498">
      <w:pPr>
        <w:pStyle w:val="Header"/>
      </w:pPr>
      <w:r w:rsidRPr="0023603C">
        <w:rPr>
          <w:rStyle w:val="CharPartNo"/>
        </w:rPr>
        <w:t xml:space="preserve"> </w:t>
      </w:r>
      <w:r w:rsidRPr="0023603C">
        <w:rPr>
          <w:rStyle w:val="CharPartText"/>
        </w:rPr>
        <w:t xml:space="preserve"> </w:t>
      </w:r>
    </w:p>
    <w:p w:rsidR="00F55498" w:rsidRPr="0023603C" w:rsidRDefault="00F55498">
      <w:pPr>
        <w:pStyle w:val="Header"/>
      </w:pPr>
      <w:r w:rsidRPr="0023603C">
        <w:rPr>
          <w:rStyle w:val="CharDivNo"/>
        </w:rPr>
        <w:t xml:space="preserve"> </w:t>
      </w:r>
      <w:r w:rsidRPr="0023603C">
        <w:rPr>
          <w:rStyle w:val="CharDivText"/>
        </w:rPr>
        <w:t xml:space="preserve"> </w:t>
      </w:r>
    </w:p>
    <w:p w:rsidR="00451D87" w:rsidRPr="0023603C" w:rsidRDefault="00451D87" w:rsidP="00451D87">
      <w:pPr>
        <w:pStyle w:val="A1"/>
      </w:pPr>
      <w:r w:rsidRPr="0023603C">
        <w:rPr>
          <w:rStyle w:val="CharSectno"/>
        </w:rPr>
        <w:t>1</w:t>
      </w:r>
      <w:r w:rsidRPr="0023603C">
        <w:tab/>
        <w:t xml:space="preserve">Name of </w:t>
      </w:r>
      <w:r w:rsidR="00E4112B">
        <w:t>i</w:t>
      </w:r>
      <w:r w:rsidR="007E2664">
        <w:t>nstrument</w:t>
      </w:r>
    </w:p>
    <w:p w:rsidR="00451D87" w:rsidRPr="0023603C" w:rsidRDefault="00451D87" w:rsidP="00451D87">
      <w:pPr>
        <w:pStyle w:val="A2"/>
      </w:pPr>
      <w:r w:rsidRPr="0023603C">
        <w:tab/>
      </w:r>
      <w:r w:rsidRPr="0023603C">
        <w:tab/>
        <w:t>Th</w:t>
      </w:r>
      <w:r w:rsidR="00A66DA9">
        <w:t xml:space="preserve">is instrument is the </w:t>
      </w:r>
      <w:r w:rsidR="00A66DA9" w:rsidRPr="00A66DA9">
        <w:rPr>
          <w:i/>
        </w:rPr>
        <w:t>Nati</w:t>
      </w:r>
      <w:r w:rsidR="001F73A4">
        <w:rPr>
          <w:i/>
        </w:rPr>
        <w:t>onal Capital Plan – Amendment 93 – City and Gateway Urban Design Provisions Technical Changes</w:t>
      </w:r>
      <w:r w:rsidRPr="0023603C">
        <w:t>.</w:t>
      </w:r>
    </w:p>
    <w:p w:rsidR="00451D87" w:rsidRPr="0023603C" w:rsidRDefault="00451D87" w:rsidP="00451D87">
      <w:pPr>
        <w:pStyle w:val="A1"/>
      </w:pPr>
      <w:r w:rsidRPr="0023603C">
        <w:rPr>
          <w:rStyle w:val="CharSectno"/>
        </w:rPr>
        <w:t>2</w:t>
      </w:r>
      <w:r w:rsidRPr="0023603C">
        <w:tab/>
        <w:t>Commencement</w:t>
      </w:r>
    </w:p>
    <w:p w:rsidR="00451D87" w:rsidRPr="0023603C" w:rsidRDefault="00451D87" w:rsidP="00451D87">
      <w:pPr>
        <w:pStyle w:val="A2"/>
      </w:pPr>
      <w:r w:rsidRPr="0023603C">
        <w:tab/>
      </w:r>
      <w:r w:rsidRPr="0023603C">
        <w:tab/>
      </w:r>
      <w:r w:rsidR="001275C1" w:rsidRPr="0023603C">
        <w:t>Th</w:t>
      </w:r>
      <w:r w:rsidR="00A66DA9">
        <w:t>is instrument commences on the date of its registration</w:t>
      </w:r>
      <w:r w:rsidRPr="0023603C">
        <w:t>.</w:t>
      </w:r>
    </w:p>
    <w:p w:rsidR="00451D87" w:rsidRPr="0023603C" w:rsidRDefault="00451D87" w:rsidP="00451D87">
      <w:pPr>
        <w:pStyle w:val="A1"/>
      </w:pPr>
      <w:r w:rsidRPr="0023603C">
        <w:rPr>
          <w:rStyle w:val="CharSectno"/>
        </w:rPr>
        <w:t>3</w:t>
      </w:r>
      <w:r w:rsidRPr="0023603C">
        <w:tab/>
        <w:t>Amendment of</w:t>
      </w:r>
      <w:r w:rsidRPr="00DF7034">
        <w:t xml:space="preserve"> </w:t>
      </w:r>
      <w:r w:rsidR="00DF7034" w:rsidRPr="00DF7034">
        <w:t>National Capital Plan</w:t>
      </w:r>
    </w:p>
    <w:p w:rsidR="00451D87" w:rsidRDefault="00451D87" w:rsidP="00451D87">
      <w:pPr>
        <w:pStyle w:val="A2"/>
      </w:pPr>
      <w:r w:rsidRPr="0023603C">
        <w:tab/>
      </w:r>
      <w:r w:rsidRPr="0023603C">
        <w:tab/>
        <w:t xml:space="preserve">Schedule 1 amends the </w:t>
      </w:r>
      <w:r w:rsidR="00DF7034" w:rsidRPr="00DF7034">
        <w:t>National Capital Plan</w:t>
      </w:r>
      <w:r w:rsidR="00A103A5">
        <w:t>.</w:t>
      </w:r>
    </w:p>
    <w:p w:rsidR="00A103A5" w:rsidRDefault="00A103A5" w:rsidP="00A103A5"/>
    <w:p w:rsidR="007E2664" w:rsidRDefault="007E2664" w:rsidP="00A103A5"/>
    <w:p w:rsidR="00A103A5" w:rsidRPr="00A103A5" w:rsidRDefault="00A103A5" w:rsidP="00A103A5"/>
    <w:p w:rsidR="00451D87" w:rsidRPr="0023603C" w:rsidRDefault="00451D87">
      <w:pPr>
        <w:pStyle w:val="MainBodySectionBreak"/>
        <w:sectPr w:rsidR="00451D87" w:rsidRPr="0023603C" w:rsidSect="007E2664">
          <w:headerReference w:type="even" r:id="rId13"/>
          <w:headerReference w:type="default" r:id="rId14"/>
          <w:footerReference w:type="even" r:id="rId15"/>
          <w:footerReference w:type="default" r:id="rId16"/>
          <w:type w:val="continuous"/>
          <w:pgSz w:w="11907" w:h="16839" w:code="9"/>
          <w:pgMar w:top="1440" w:right="1587" w:bottom="1440" w:left="1560" w:header="709" w:footer="709" w:gutter="0"/>
          <w:cols w:space="708"/>
          <w:docGrid w:linePitch="360"/>
        </w:sectPr>
      </w:pPr>
    </w:p>
    <w:p w:rsidR="00451D87" w:rsidRPr="0023603C" w:rsidRDefault="00451D87">
      <w:pPr>
        <w:pStyle w:val="AS"/>
      </w:pPr>
      <w:r w:rsidRPr="0023603C">
        <w:rPr>
          <w:rStyle w:val="CharSchNo"/>
        </w:rPr>
        <w:lastRenderedPageBreak/>
        <w:t>Schedule 1</w:t>
      </w:r>
      <w:r w:rsidRPr="0023603C">
        <w:tab/>
      </w:r>
      <w:r w:rsidR="00182977" w:rsidRPr="0023603C">
        <w:rPr>
          <w:rStyle w:val="CharSchText"/>
        </w:rPr>
        <w:t>Amendment</w:t>
      </w:r>
    </w:p>
    <w:p w:rsidR="00451D87" w:rsidRPr="0023603C" w:rsidRDefault="00451D87">
      <w:pPr>
        <w:pStyle w:val="ASref"/>
      </w:pPr>
      <w:r w:rsidRPr="0023603C">
        <w:t>(section 3)</w:t>
      </w:r>
    </w:p>
    <w:p w:rsidR="00F55498" w:rsidRPr="0023603C" w:rsidRDefault="00F55498" w:rsidP="00F55498">
      <w:pPr>
        <w:pStyle w:val="Header"/>
        <w:keepNext/>
      </w:pPr>
      <w:r w:rsidRPr="0023603C">
        <w:rPr>
          <w:rStyle w:val="CharAmSchPTNo"/>
        </w:rPr>
        <w:t xml:space="preserve"> </w:t>
      </w:r>
      <w:r w:rsidRPr="0023603C">
        <w:rPr>
          <w:rStyle w:val="CharAmSchPTText"/>
        </w:rPr>
        <w:t xml:space="preserve"> </w:t>
      </w:r>
    </w:p>
    <w:p w:rsidR="001F73A4" w:rsidRPr="001F73A4" w:rsidRDefault="001F73A4" w:rsidP="001F73A4">
      <w:pPr>
        <w:spacing w:after="120"/>
      </w:pPr>
      <w:r w:rsidRPr="001F73A4">
        <w:t>The National Capital Plan is amended by the following:</w:t>
      </w:r>
    </w:p>
    <w:p w:rsidR="001F73A4" w:rsidRPr="001F73A4" w:rsidRDefault="001F73A4" w:rsidP="001F73A4">
      <w:pPr>
        <w:pStyle w:val="Heading2"/>
        <w:spacing w:after="120"/>
        <w:rPr>
          <w:rFonts w:ascii="Times New Roman" w:hAnsi="Times New Roman" w:cs="Times New Roman"/>
          <w:sz w:val="24"/>
          <w:szCs w:val="24"/>
        </w:rPr>
      </w:pPr>
      <w:r w:rsidRPr="001F73A4">
        <w:rPr>
          <w:rFonts w:ascii="Times New Roman" w:hAnsi="Times New Roman" w:cs="Times New Roman"/>
          <w:sz w:val="24"/>
          <w:szCs w:val="24"/>
        </w:rPr>
        <w:t>Section 4.28 City and Gateway Corridor</w:t>
      </w:r>
    </w:p>
    <w:p w:rsidR="001F73A4" w:rsidRPr="001F73A4" w:rsidRDefault="001F73A4" w:rsidP="001F73A4">
      <w:pPr>
        <w:pStyle w:val="ListParagraph"/>
        <w:numPr>
          <w:ilvl w:val="0"/>
          <w:numId w:val="4"/>
        </w:numPr>
        <w:spacing w:after="120"/>
        <w:contextualSpacing w:val="0"/>
        <w:rPr>
          <w:rFonts w:ascii="Times New Roman" w:hAnsi="Times New Roman"/>
          <w:sz w:val="24"/>
          <w:szCs w:val="24"/>
        </w:rPr>
      </w:pPr>
      <w:r w:rsidRPr="001F73A4">
        <w:rPr>
          <w:rFonts w:ascii="Times New Roman" w:hAnsi="Times New Roman"/>
          <w:sz w:val="24"/>
          <w:szCs w:val="24"/>
        </w:rPr>
        <w:t>Following the section titled ‘Land use’, insert the following section:</w:t>
      </w:r>
    </w:p>
    <w:p w:rsidR="001F73A4" w:rsidRPr="001F73A4" w:rsidRDefault="001F73A4" w:rsidP="001F73A4">
      <w:pPr>
        <w:pStyle w:val="Heading3"/>
        <w:spacing w:after="120"/>
        <w:ind w:firstLine="720"/>
        <w:rPr>
          <w:rFonts w:ascii="Times New Roman" w:hAnsi="Times New Roman" w:cs="Times New Roman"/>
          <w:sz w:val="24"/>
          <w:szCs w:val="24"/>
        </w:rPr>
      </w:pPr>
      <w:r w:rsidRPr="001F73A4">
        <w:rPr>
          <w:rFonts w:ascii="Times New Roman" w:hAnsi="Times New Roman" w:cs="Times New Roman"/>
          <w:sz w:val="24"/>
          <w:szCs w:val="24"/>
        </w:rPr>
        <w:t>Transitional arrangements for development applications</w:t>
      </w:r>
    </w:p>
    <w:p w:rsidR="001F73A4" w:rsidRPr="001F73A4" w:rsidRDefault="001F73A4" w:rsidP="001F73A4">
      <w:pPr>
        <w:pStyle w:val="ListParagraph"/>
        <w:spacing w:after="120"/>
        <w:contextualSpacing w:val="0"/>
        <w:rPr>
          <w:rFonts w:ascii="Times New Roman" w:hAnsi="Times New Roman"/>
          <w:i/>
          <w:sz w:val="24"/>
          <w:szCs w:val="24"/>
        </w:rPr>
      </w:pPr>
      <w:r w:rsidRPr="001F73A4">
        <w:rPr>
          <w:rFonts w:ascii="Times New Roman" w:hAnsi="Times New Roman"/>
          <w:sz w:val="24"/>
          <w:szCs w:val="24"/>
        </w:rPr>
        <w:t>Development applications submitted to the Territory planning authority prior to 4 April 2019 are not subject to the provisions of section 4.28 of the National Capital Plan. Development applications lodged prior to this date are subject to the provisions of the National Capital Plan and the Territory Plan as in force at the time of the application being made</w:t>
      </w:r>
      <w:r w:rsidRPr="001F73A4">
        <w:rPr>
          <w:rFonts w:ascii="Times New Roman" w:hAnsi="Times New Roman"/>
          <w:i/>
          <w:sz w:val="24"/>
          <w:szCs w:val="24"/>
        </w:rPr>
        <w:t xml:space="preserve">. </w:t>
      </w:r>
    </w:p>
    <w:p w:rsidR="0016533D" w:rsidRDefault="0016533D" w:rsidP="001F73A4">
      <w:pPr>
        <w:pStyle w:val="ListParagraph"/>
        <w:numPr>
          <w:ilvl w:val="0"/>
          <w:numId w:val="4"/>
        </w:numPr>
        <w:spacing w:after="120"/>
        <w:contextualSpacing w:val="0"/>
        <w:rPr>
          <w:rFonts w:ascii="Times New Roman" w:hAnsi="Times New Roman"/>
          <w:sz w:val="24"/>
          <w:szCs w:val="24"/>
        </w:rPr>
      </w:pPr>
      <w:r>
        <w:rPr>
          <w:rFonts w:ascii="Times New Roman" w:hAnsi="Times New Roman"/>
          <w:sz w:val="24"/>
          <w:szCs w:val="24"/>
        </w:rPr>
        <w:t>Delete the first two paragraphs under the section titled ‘Building separation’ and replace with:</w:t>
      </w:r>
    </w:p>
    <w:p w:rsidR="0016533D" w:rsidRPr="0016533D" w:rsidRDefault="0016533D" w:rsidP="0016533D">
      <w:pPr>
        <w:spacing w:after="120"/>
        <w:ind w:left="720"/>
      </w:pPr>
      <w:r w:rsidRPr="0016533D">
        <w:t>Minimum separation distances for buildings on blocks with a frontage to Northbourne Avenue or Federal Highway greater than 35m wide are:</w:t>
      </w:r>
    </w:p>
    <w:tbl>
      <w:tblPr>
        <w:tblStyle w:val="TableGrid"/>
        <w:tblW w:w="0" w:type="auto"/>
        <w:tblLook w:val="04A0" w:firstRow="1" w:lastRow="0" w:firstColumn="1" w:lastColumn="0" w:noHBand="0" w:noVBand="1"/>
      </w:tblPr>
      <w:tblGrid>
        <w:gridCol w:w="2017"/>
        <w:gridCol w:w="2442"/>
        <w:gridCol w:w="2035"/>
        <w:gridCol w:w="2035"/>
      </w:tblGrid>
      <w:tr w:rsidR="0016533D" w:rsidRPr="0016533D" w:rsidTr="00D536C9">
        <w:tc>
          <w:tcPr>
            <w:tcW w:w="2864" w:type="dxa"/>
          </w:tcPr>
          <w:p w:rsidR="0016533D" w:rsidRPr="0016533D" w:rsidRDefault="0016533D" w:rsidP="00D536C9">
            <w:pPr>
              <w:spacing w:after="120"/>
            </w:pPr>
            <w:r w:rsidRPr="0016533D">
              <w:t>Building height</w:t>
            </w:r>
          </w:p>
        </w:tc>
        <w:tc>
          <w:tcPr>
            <w:tcW w:w="2865" w:type="dxa"/>
          </w:tcPr>
          <w:p w:rsidR="0016533D" w:rsidRPr="0016533D" w:rsidRDefault="0016533D" w:rsidP="00D536C9">
            <w:pPr>
              <w:spacing w:after="120"/>
            </w:pPr>
            <w:r w:rsidRPr="0016533D">
              <w:t>Between windows in habitable rooms/unscreened balconies</w:t>
            </w:r>
          </w:p>
        </w:tc>
        <w:tc>
          <w:tcPr>
            <w:tcW w:w="2865" w:type="dxa"/>
          </w:tcPr>
          <w:p w:rsidR="0016533D" w:rsidRPr="0016533D" w:rsidRDefault="0016533D" w:rsidP="00D536C9">
            <w:pPr>
              <w:spacing w:after="120"/>
            </w:pPr>
            <w:r w:rsidRPr="0016533D">
              <w:t>Between windows in habitable and non-habitable rooms</w:t>
            </w:r>
          </w:p>
        </w:tc>
        <w:tc>
          <w:tcPr>
            <w:tcW w:w="2865" w:type="dxa"/>
          </w:tcPr>
          <w:p w:rsidR="0016533D" w:rsidRPr="0016533D" w:rsidRDefault="0016533D" w:rsidP="00D536C9">
            <w:pPr>
              <w:spacing w:after="120"/>
            </w:pPr>
            <w:r w:rsidRPr="0016533D">
              <w:t>Between non-habitable rooms</w:t>
            </w:r>
          </w:p>
        </w:tc>
      </w:tr>
      <w:tr w:rsidR="0016533D" w:rsidRPr="0016533D" w:rsidTr="00D536C9">
        <w:tc>
          <w:tcPr>
            <w:tcW w:w="2864" w:type="dxa"/>
          </w:tcPr>
          <w:p w:rsidR="0016533D" w:rsidRPr="0016533D" w:rsidRDefault="0016533D" w:rsidP="00D536C9">
            <w:pPr>
              <w:spacing w:after="120"/>
            </w:pPr>
            <w:r w:rsidRPr="0016533D">
              <w:t>Up to 4 storeys</w:t>
            </w:r>
          </w:p>
        </w:tc>
        <w:tc>
          <w:tcPr>
            <w:tcW w:w="2865" w:type="dxa"/>
          </w:tcPr>
          <w:p w:rsidR="0016533D" w:rsidRPr="0016533D" w:rsidRDefault="0016533D" w:rsidP="00D536C9">
            <w:pPr>
              <w:spacing w:after="120"/>
            </w:pPr>
            <w:r w:rsidRPr="0016533D">
              <w:t>12m</w:t>
            </w:r>
          </w:p>
        </w:tc>
        <w:tc>
          <w:tcPr>
            <w:tcW w:w="2865" w:type="dxa"/>
          </w:tcPr>
          <w:p w:rsidR="0016533D" w:rsidRPr="0016533D" w:rsidRDefault="0016533D" w:rsidP="00D536C9">
            <w:pPr>
              <w:spacing w:after="120"/>
            </w:pPr>
            <w:r w:rsidRPr="0016533D">
              <w:t>9m</w:t>
            </w:r>
          </w:p>
        </w:tc>
        <w:tc>
          <w:tcPr>
            <w:tcW w:w="2865" w:type="dxa"/>
          </w:tcPr>
          <w:p w:rsidR="0016533D" w:rsidRPr="0016533D" w:rsidRDefault="0016533D" w:rsidP="00D536C9">
            <w:pPr>
              <w:spacing w:after="120"/>
            </w:pPr>
            <w:r w:rsidRPr="0016533D">
              <w:t>6m</w:t>
            </w:r>
          </w:p>
        </w:tc>
      </w:tr>
      <w:tr w:rsidR="0016533D" w:rsidRPr="0016533D" w:rsidTr="00D536C9">
        <w:tc>
          <w:tcPr>
            <w:tcW w:w="2864" w:type="dxa"/>
          </w:tcPr>
          <w:p w:rsidR="0016533D" w:rsidRPr="0016533D" w:rsidRDefault="0016533D" w:rsidP="00D536C9">
            <w:pPr>
              <w:spacing w:after="120"/>
            </w:pPr>
            <w:r w:rsidRPr="0016533D">
              <w:t>5 to 8 storeys</w:t>
            </w:r>
          </w:p>
        </w:tc>
        <w:tc>
          <w:tcPr>
            <w:tcW w:w="2865" w:type="dxa"/>
          </w:tcPr>
          <w:p w:rsidR="0016533D" w:rsidRPr="0016533D" w:rsidRDefault="0016533D" w:rsidP="00D536C9">
            <w:pPr>
              <w:spacing w:after="120"/>
            </w:pPr>
            <w:r w:rsidRPr="0016533D">
              <w:t>18m</w:t>
            </w:r>
          </w:p>
        </w:tc>
        <w:tc>
          <w:tcPr>
            <w:tcW w:w="2865" w:type="dxa"/>
          </w:tcPr>
          <w:p w:rsidR="0016533D" w:rsidRPr="0016533D" w:rsidRDefault="0016533D" w:rsidP="00D536C9">
            <w:pPr>
              <w:spacing w:after="120"/>
            </w:pPr>
            <w:r w:rsidRPr="0016533D">
              <w:t>12m</w:t>
            </w:r>
          </w:p>
        </w:tc>
        <w:tc>
          <w:tcPr>
            <w:tcW w:w="2865" w:type="dxa"/>
          </w:tcPr>
          <w:p w:rsidR="0016533D" w:rsidRPr="0016533D" w:rsidRDefault="0016533D" w:rsidP="00D536C9">
            <w:pPr>
              <w:spacing w:after="120"/>
            </w:pPr>
            <w:r w:rsidRPr="0016533D">
              <w:t>9m</w:t>
            </w:r>
          </w:p>
        </w:tc>
      </w:tr>
      <w:tr w:rsidR="0016533D" w:rsidRPr="0016533D" w:rsidTr="00D536C9">
        <w:tc>
          <w:tcPr>
            <w:tcW w:w="2864" w:type="dxa"/>
          </w:tcPr>
          <w:p w:rsidR="0016533D" w:rsidRPr="0016533D" w:rsidRDefault="0016533D" w:rsidP="00D536C9">
            <w:pPr>
              <w:spacing w:after="120"/>
            </w:pPr>
            <w:r w:rsidRPr="0016533D">
              <w:t>9 storeys and above</w:t>
            </w:r>
          </w:p>
        </w:tc>
        <w:tc>
          <w:tcPr>
            <w:tcW w:w="2865" w:type="dxa"/>
          </w:tcPr>
          <w:p w:rsidR="0016533D" w:rsidRPr="0016533D" w:rsidRDefault="0016533D" w:rsidP="00D536C9">
            <w:pPr>
              <w:spacing w:after="120"/>
            </w:pPr>
            <w:r w:rsidRPr="0016533D">
              <w:t>24m</w:t>
            </w:r>
          </w:p>
        </w:tc>
        <w:tc>
          <w:tcPr>
            <w:tcW w:w="2865" w:type="dxa"/>
          </w:tcPr>
          <w:p w:rsidR="0016533D" w:rsidRPr="0016533D" w:rsidRDefault="0016533D" w:rsidP="00D536C9">
            <w:pPr>
              <w:spacing w:after="120"/>
            </w:pPr>
            <w:r w:rsidRPr="0016533D">
              <w:t>18m</w:t>
            </w:r>
          </w:p>
        </w:tc>
        <w:tc>
          <w:tcPr>
            <w:tcW w:w="2865" w:type="dxa"/>
          </w:tcPr>
          <w:p w:rsidR="0016533D" w:rsidRPr="0016533D" w:rsidRDefault="0016533D" w:rsidP="00D536C9">
            <w:pPr>
              <w:spacing w:after="120"/>
            </w:pPr>
            <w:r w:rsidRPr="0016533D">
              <w:t>12m</w:t>
            </w:r>
          </w:p>
        </w:tc>
      </w:tr>
    </w:tbl>
    <w:p w:rsidR="0016533D" w:rsidRPr="0016533D" w:rsidRDefault="0016533D" w:rsidP="0016533D">
      <w:pPr>
        <w:spacing w:after="120"/>
      </w:pPr>
    </w:p>
    <w:p w:rsidR="0016533D" w:rsidRPr="0016533D" w:rsidRDefault="0016533D" w:rsidP="0016533D">
      <w:pPr>
        <w:spacing w:after="120"/>
        <w:ind w:left="720"/>
      </w:pPr>
      <w:r w:rsidRPr="0016533D">
        <w:t>Where blocks have a front boundary to Northbourne Avenue or the Federal</w:t>
      </w:r>
      <w:r w:rsidRPr="0016533D">
        <w:rPr>
          <w:color w:val="FF0000"/>
        </w:rPr>
        <w:t xml:space="preserve"> </w:t>
      </w:r>
      <w:r w:rsidRPr="0016533D">
        <w:t>Highway and are less than 35 metres wide, building separation distances may be reduced provided all of the following are achieved:</w:t>
      </w:r>
    </w:p>
    <w:p w:rsidR="0016533D" w:rsidRPr="0016533D" w:rsidRDefault="0016533D" w:rsidP="0016533D">
      <w:pPr>
        <w:pStyle w:val="ListParagraph"/>
        <w:numPr>
          <w:ilvl w:val="0"/>
          <w:numId w:val="6"/>
        </w:numPr>
        <w:spacing w:after="120" w:line="240" w:lineRule="auto"/>
        <w:rPr>
          <w:rFonts w:ascii="Times New Roman" w:hAnsi="Times New Roman"/>
          <w:sz w:val="24"/>
          <w:szCs w:val="24"/>
        </w:rPr>
      </w:pPr>
      <w:r w:rsidRPr="0016533D">
        <w:rPr>
          <w:rFonts w:ascii="Times New Roman" w:hAnsi="Times New Roman"/>
          <w:sz w:val="24"/>
          <w:szCs w:val="24"/>
        </w:rPr>
        <w:t>reasonable levels of visual and acoustic privacy</w:t>
      </w:r>
    </w:p>
    <w:p w:rsidR="0016533D" w:rsidRPr="0016533D" w:rsidRDefault="0016533D" w:rsidP="0016533D">
      <w:pPr>
        <w:pStyle w:val="ListParagraph"/>
        <w:numPr>
          <w:ilvl w:val="0"/>
          <w:numId w:val="6"/>
        </w:numPr>
        <w:spacing w:after="120" w:line="240" w:lineRule="auto"/>
        <w:rPr>
          <w:rFonts w:ascii="Times New Roman" w:hAnsi="Times New Roman"/>
          <w:sz w:val="24"/>
          <w:szCs w:val="24"/>
        </w:rPr>
      </w:pPr>
      <w:r w:rsidRPr="0016533D">
        <w:rPr>
          <w:rFonts w:ascii="Times New Roman" w:hAnsi="Times New Roman"/>
          <w:sz w:val="24"/>
          <w:szCs w:val="24"/>
        </w:rPr>
        <w:t>suitable areas for soft landscaping and deep root planting.</w:t>
      </w:r>
    </w:p>
    <w:p w:rsidR="0016533D" w:rsidRDefault="0016533D" w:rsidP="0016533D">
      <w:pPr>
        <w:pStyle w:val="ListParagraph"/>
        <w:spacing w:after="120"/>
        <w:contextualSpacing w:val="0"/>
        <w:rPr>
          <w:rFonts w:ascii="Times New Roman" w:hAnsi="Times New Roman"/>
          <w:sz w:val="24"/>
          <w:szCs w:val="24"/>
        </w:rPr>
      </w:pPr>
    </w:p>
    <w:p w:rsidR="001F73A4" w:rsidRPr="001F73A4" w:rsidRDefault="001F73A4" w:rsidP="001F73A4">
      <w:pPr>
        <w:pStyle w:val="ListParagraph"/>
        <w:numPr>
          <w:ilvl w:val="0"/>
          <w:numId w:val="4"/>
        </w:numPr>
        <w:spacing w:after="120"/>
        <w:contextualSpacing w:val="0"/>
        <w:rPr>
          <w:rFonts w:ascii="Times New Roman" w:hAnsi="Times New Roman"/>
          <w:sz w:val="24"/>
          <w:szCs w:val="24"/>
        </w:rPr>
      </w:pPr>
      <w:r w:rsidRPr="001F73A4">
        <w:rPr>
          <w:rFonts w:ascii="Times New Roman" w:hAnsi="Times New Roman"/>
          <w:sz w:val="24"/>
          <w:szCs w:val="24"/>
        </w:rPr>
        <w:t>Delete the fifth paragraph under the section titled ‘Building design and architecture; Private open space’ and replace with:</w:t>
      </w:r>
    </w:p>
    <w:p w:rsidR="001F73A4" w:rsidRPr="001F73A4" w:rsidRDefault="001F73A4" w:rsidP="001F73A4">
      <w:pPr>
        <w:pStyle w:val="ListParagraph"/>
        <w:spacing w:after="120"/>
        <w:contextualSpacing w:val="0"/>
        <w:rPr>
          <w:rFonts w:ascii="Times New Roman" w:hAnsi="Times New Roman"/>
          <w:sz w:val="24"/>
          <w:szCs w:val="24"/>
        </w:rPr>
      </w:pPr>
      <w:r w:rsidRPr="001F73A4">
        <w:rPr>
          <w:rFonts w:ascii="Times New Roman" w:hAnsi="Times New Roman"/>
          <w:sz w:val="24"/>
          <w:szCs w:val="24"/>
        </w:rPr>
        <w:lastRenderedPageBreak/>
        <w:t>Balconies must be designed to allow views and passive surveillance of the street while maintaining visual privacy and allowing for a range of uses on the balcony. Balconies must be designed in accordance with the following:</w:t>
      </w:r>
    </w:p>
    <w:p w:rsidR="001F73A4" w:rsidRPr="001F73A4" w:rsidRDefault="001F73A4" w:rsidP="001F73A4">
      <w:pPr>
        <w:pStyle w:val="ListParagraph"/>
        <w:numPr>
          <w:ilvl w:val="0"/>
          <w:numId w:val="5"/>
        </w:numPr>
        <w:spacing w:after="120"/>
        <w:contextualSpacing w:val="0"/>
        <w:rPr>
          <w:rFonts w:ascii="Times New Roman" w:hAnsi="Times New Roman"/>
          <w:sz w:val="24"/>
          <w:szCs w:val="24"/>
          <w:lang w:eastAsia="en-AU"/>
        </w:rPr>
      </w:pPr>
      <w:r w:rsidRPr="001F73A4">
        <w:rPr>
          <w:rFonts w:ascii="Times New Roman" w:hAnsi="Times New Roman"/>
          <w:sz w:val="24"/>
          <w:szCs w:val="24"/>
          <w:lang w:eastAsia="en-AU"/>
        </w:rPr>
        <w:t>Balustrades to balconies up to 12 metres above datum ground level must be solid.</w:t>
      </w:r>
    </w:p>
    <w:p w:rsidR="001F73A4" w:rsidRPr="001F73A4" w:rsidRDefault="001F73A4" w:rsidP="001F73A4">
      <w:pPr>
        <w:pStyle w:val="ListParagraph"/>
        <w:numPr>
          <w:ilvl w:val="0"/>
          <w:numId w:val="5"/>
        </w:numPr>
        <w:spacing w:after="120"/>
        <w:contextualSpacing w:val="0"/>
        <w:rPr>
          <w:rFonts w:ascii="Times New Roman" w:hAnsi="Times New Roman"/>
          <w:sz w:val="24"/>
          <w:szCs w:val="24"/>
          <w:lang w:eastAsia="en-AU"/>
        </w:rPr>
      </w:pPr>
      <w:r w:rsidRPr="001F73A4">
        <w:rPr>
          <w:rFonts w:ascii="Times New Roman" w:hAnsi="Times New Roman"/>
          <w:sz w:val="24"/>
          <w:szCs w:val="24"/>
          <w:lang w:eastAsia="en-AU"/>
        </w:rPr>
        <w:t>Full width and full height glass balustrades are not permitted below 20 metres above datum ground level.</w:t>
      </w:r>
    </w:p>
    <w:p w:rsidR="001F73A4" w:rsidRPr="001F73A4" w:rsidRDefault="001F73A4" w:rsidP="001F73A4">
      <w:pPr>
        <w:pStyle w:val="ListParagraph"/>
        <w:numPr>
          <w:ilvl w:val="0"/>
          <w:numId w:val="5"/>
        </w:numPr>
        <w:spacing w:after="120"/>
        <w:contextualSpacing w:val="0"/>
        <w:rPr>
          <w:rFonts w:ascii="Times New Roman" w:hAnsi="Times New Roman"/>
          <w:iCs/>
          <w:sz w:val="24"/>
          <w:szCs w:val="24"/>
        </w:rPr>
      </w:pPr>
      <w:r w:rsidRPr="001F73A4">
        <w:rPr>
          <w:rFonts w:ascii="Times New Roman" w:hAnsi="Times New Roman"/>
          <w:iCs/>
          <w:sz w:val="24"/>
          <w:szCs w:val="24"/>
        </w:rPr>
        <w:t>Between 12-20 metres above datum ground level, balustrades must be solid for a minimum of 50 per cent of the balustrade height, commencing at the level of the balcony. Glass elements may be used above the solid component of the balustrade.</w:t>
      </w:r>
    </w:p>
    <w:p w:rsidR="001F73A4" w:rsidRPr="001F73A4" w:rsidRDefault="001F73A4" w:rsidP="001F73A4">
      <w:pPr>
        <w:pStyle w:val="ListParagraph"/>
        <w:numPr>
          <w:ilvl w:val="0"/>
          <w:numId w:val="4"/>
        </w:numPr>
        <w:spacing w:after="120"/>
        <w:contextualSpacing w:val="0"/>
        <w:rPr>
          <w:rFonts w:ascii="Times New Roman" w:hAnsi="Times New Roman"/>
          <w:sz w:val="24"/>
          <w:szCs w:val="24"/>
        </w:rPr>
      </w:pPr>
      <w:r w:rsidRPr="001F73A4">
        <w:rPr>
          <w:rFonts w:ascii="Times New Roman" w:hAnsi="Times New Roman"/>
          <w:sz w:val="24"/>
          <w:szCs w:val="24"/>
        </w:rPr>
        <w:t>Delete the section titled ‘Length of buildings’ and replace with:</w:t>
      </w:r>
    </w:p>
    <w:p w:rsidR="001F73A4" w:rsidRPr="001F73A4" w:rsidRDefault="001F73A4" w:rsidP="001F73A4">
      <w:pPr>
        <w:spacing w:after="120"/>
        <w:ind w:left="720"/>
      </w:pPr>
      <w:r w:rsidRPr="001F73A4">
        <w:t>Long buildings that limit permeability, block views, and disrupt a pedestrian-scaled neighbourhood system should be avoided.</w:t>
      </w:r>
    </w:p>
    <w:p w:rsidR="001F73A4" w:rsidRPr="001F73A4" w:rsidRDefault="001F73A4" w:rsidP="001F73A4">
      <w:pPr>
        <w:spacing w:after="120"/>
        <w:ind w:left="720"/>
      </w:pPr>
      <w:r w:rsidRPr="001F73A4">
        <w:t>Buildings are limited to a maximum length of 55 metres. For the purpose of this clause, ‘building’ refers to an element or elements of a building above datum ground level. The application of the maximum length does not apply to basements.</w:t>
      </w:r>
    </w:p>
    <w:p w:rsidR="001F73A4" w:rsidRPr="001F73A4" w:rsidRDefault="001F73A4" w:rsidP="001F73A4">
      <w:pPr>
        <w:spacing w:after="120"/>
        <w:ind w:left="720"/>
      </w:pPr>
      <w:r w:rsidRPr="001F73A4">
        <w:t>Longer buildings may be permitted at lower building levels where strong design justifications is provided, such as provision of continuous, active street frontages. Where this is the case, pedestrian mid-block links between 5 and 10 metres wide must be provided at least once every 55 metres through the built form. Longer buildings may also be permitted at the intersection of Northbourne Avenue with Macarthur/Wakefield Avenues, where the buildings run perpendicular to the Northbourne Avenue.</w:t>
      </w:r>
    </w:p>
    <w:p w:rsidR="00451D87" w:rsidRPr="0023603C" w:rsidRDefault="00451D87">
      <w:pPr>
        <w:pStyle w:val="A1S"/>
      </w:pPr>
    </w:p>
    <w:p w:rsidR="001275C1" w:rsidRDefault="001275C1" w:rsidP="005B2968">
      <w:pPr>
        <w:pStyle w:val="Note"/>
        <w:ind w:left="0"/>
      </w:pPr>
    </w:p>
    <w:p w:rsidR="005B2968" w:rsidRDefault="005B2968" w:rsidP="005B2968">
      <w:pPr>
        <w:pStyle w:val="Note"/>
        <w:ind w:left="0"/>
      </w:pPr>
    </w:p>
    <w:p w:rsidR="005B2968" w:rsidRPr="0023603C" w:rsidRDefault="005B2968" w:rsidP="005B2968">
      <w:pPr>
        <w:pStyle w:val="Note"/>
        <w:ind w:left="0"/>
      </w:pPr>
    </w:p>
    <w:p w:rsidR="00451D87" w:rsidRPr="0023603C" w:rsidRDefault="00451D87">
      <w:pPr>
        <w:pStyle w:val="SchedSectionBreak"/>
        <w:sectPr w:rsidR="00451D87" w:rsidRPr="0023603C" w:rsidSect="00F55498">
          <w:headerReference w:type="even" r:id="rId17"/>
          <w:headerReference w:type="default" r:id="rId18"/>
          <w:footerReference w:type="even" r:id="rId19"/>
          <w:footerReference w:type="default" r:id="rId20"/>
          <w:type w:val="continuous"/>
          <w:pgSz w:w="11907" w:h="16839" w:code="9"/>
          <w:pgMar w:top="1440" w:right="1797" w:bottom="1440" w:left="1797" w:header="709" w:footer="709" w:gutter="0"/>
          <w:cols w:space="708"/>
          <w:docGrid w:linePitch="360"/>
        </w:sectPr>
      </w:pPr>
    </w:p>
    <w:p w:rsidR="00451D87" w:rsidRPr="0023603C" w:rsidRDefault="00451D87">
      <w:pPr>
        <w:pStyle w:val="NoteEnd"/>
        <w:pBdr>
          <w:top w:val="single" w:sz="4" w:space="3" w:color="auto"/>
        </w:pBdr>
        <w:spacing w:before="480"/>
        <w:rPr>
          <w:rFonts w:ascii="Arial" w:hAnsi="Arial"/>
          <w:b/>
          <w:sz w:val="24"/>
        </w:rPr>
      </w:pPr>
      <w:r w:rsidRPr="0023603C">
        <w:rPr>
          <w:rFonts w:ascii="Arial" w:hAnsi="Arial"/>
          <w:b/>
          <w:sz w:val="24"/>
        </w:rPr>
        <w:t>Note</w:t>
      </w:r>
    </w:p>
    <w:p w:rsidR="00451D87" w:rsidRPr="0023603C" w:rsidRDefault="00451D87">
      <w:pPr>
        <w:pStyle w:val="NoteEnd"/>
      </w:pPr>
      <w:r w:rsidRPr="0023603C">
        <w:t>1.</w:t>
      </w:r>
      <w:r w:rsidRPr="0023603C">
        <w:tab/>
        <w:t xml:space="preserve">All legislative instruments and compilations are registered on the </w:t>
      </w:r>
      <w:r w:rsidR="00996AE9">
        <w:t xml:space="preserve">Federal Register of Legislation </w:t>
      </w:r>
      <w:r w:rsidRPr="0023603C">
        <w:t xml:space="preserve">kept under the </w:t>
      </w:r>
      <w:r w:rsidRPr="0023603C">
        <w:rPr>
          <w:i/>
        </w:rPr>
        <w:t>Legislative Instruments Act 2003</w:t>
      </w:r>
      <w:r w:rsidRPr="0023603C">
        <w:t>.</w:t>
      </w:r>
      <w:r w:rsidRPr="0023603C">
        <w:rPr>
          <w:i/>
        </w:rPr>
        <w:t xml:space="preserve"> </w:t>
      </w:r>
      <w:r w:rsidRPr="0023603C">
        <w:t xml:space="preserve">See </w:t>
      </w:r>
      <w:r w:rsidR="00996AE9">
        <w:rPr>
          <w:u w:val="single"/>
        </w:rPr>
        <w:t>http://www.legislation</w:t>
      </w:r>
      <w:r w:rsidRPr="0023603C">
        <w:rPr>
          <w:u w:val="single"/>
        </w:rPr>
        <w:t>.gov.au</w:t>
      </w:r>
      <w:r w:rsidRPr="0023603C">
        <w:t>.</w:t>
      </w:r>
    </w:p>
    <w:p w:rsidR="00451D87" w:rsidRPr="0023603C" w:rsidRDefault="00451D87">
      <w:pPr>
        <w:pStyle w:val="NotesSectionBreak"/>
        <w:sectPr w:rsidR="00451D87" w:rsidRPr="0023603C" w:rsidSect="00F55498">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1440" w:right="1797" w:bottom="1440" w:left="1797" w:header="709" w:footer="709" w:gutter="0"/>
          <w:cols w:space="708"/>
          <w:docGrid w:linePitch="360"/>
        </w:sectPr>
      </w:pPr>
    </w:p>
    <w:p w:rsidR="00F37E63" w:rsidRPr="0023603C" w:rsidRDefault="00F37E63" w:rsidP="00674B00"/>
    <w:sectPr w:rsidR="00F37E63" w:rsidRPr="0023603C" w:rsidSect="00F55498">
      <w:headerReference w:type="even" r:id="rId27"/>
      <w:headerReference w:type="default" r:id="rId28"/>
      <w:footerReference w:type="even" r:id="rId29"/>
      <w:footerReference w:type="default" r:id="rId30"/>
      <w:footerReference w:type="first" r:id="rId31"/>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35C" w:rsidRDefault="00E8435C">
      <w:r>
        <w:separator/>
      </w:r>
    </w:p>
  </w:endnote>
  <w:endnote w:type="continuationSeparator" w:id="0">
    <w:p w:rsidR="00E8435C" w:rsidRDefault="00E8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Default="003C0F16">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Pr="003D7214" w:rsidRDefault="003C0F16">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2</w:t>
          </w:r>
          <w:r w:rsidRPr="003D7214">
            <w:rPr>
              <w:rStyle w:val="PageNumber"/>
              <w:rFonts w:cs="Arial"/>
              <w:szCs w:val="22"/>
            </w:rPr>
            <w:fldChar w:fldCharType="end"/>
          </w:r>
        </w:p>
      </w:tc>
      <w:tc>
        <w:tcPr>
          <w:tcW w:w="6095" w:type="dxa"/>
        </w:tcPr>
        <w:p w:rsidR="003C0F16" w:rsidRPr="004F5D6D" w:rsidRDefault="003C0F16">
          <w:pPr>
            <w:pStyle w:val="Footer"/>
            <w:spacing w:before="20" w:line="240" w:lineRule="exact"/>
          </w:pPr>
          <w:r w:rsidRPr="00EF2F9D">
            <w:fldChar w:fldCharType="begin"/>
          </w:r>
          <w:r w:rsidRPr="00EF2F9D">
            <w:instrText xml:space="preserve"> REF  Citation\*charformat </w:instrText>
          </w:r>
          <w:r w:rsidRPr="00EF2F9D">
            <w:fldChar w:fldCharType="separate"/>
          </w:r>
          <w:r>
            <w:rPr>
              <w:b/>
              <w:bCs/>
              <w:lang w:val="en-US"/>
            </w:rPr>
            <w:t>Error! Reference source not found.</w:t>
          </w:r>
          <w:r w:rsidRPr="00EF2F9D">
            <w:fldChar w:fldCharType="end"/>
          </w:r>
        </w:p>
      </w:tc>
      <w:tc>
        <w:tcPr>
          <w:tcW w:w="1134" w:type="dxa"/>
        </w:tcPr>
        <w:p w:rsidR="003C0F16" w:rsidRPr="00451BF5" w:rsidRDefault="003C0F16">
          <w:pPr>
            <w:spacing w:line="240" w:lineRule="exact"/>
            <w:jc w:val="right"/>
            <w:rPr>
              <w:rStyle w:val="PageNumber"/>
            </w:rPr>
          </w:pPr>
        </w:p>
      </w:tc>
    </w:tr>
  </w:tbl>
  <w:p w:rsidR="003C0F16" w:rsidRDefault="003C0F16" w:rsidP="00D21740">
    <w:pPr>
      <w:pStyle w:val="FooterDraft"/>
    </w:pPr>
  </w:p>
  <w:p w:rsidR="003C0F16" w:rsidRDefault="003C0F16">
    <w:pPr>
      <w:pStyle w:val="FooterInfo"/>
    </w:pPr>
    <w:r w:rsidRPr="00974D8C">
      <w:t xml:space="preserve"> </w:t>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Pr="00556EB9" w:rsidRDefault="003C0F16">
    <w:pPr>
      <w:pStyle w:val="FooterCitation"/>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Default="003C0F16"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Pr="003D7214" w:rsidRDefault="003C0F16" w:rsidP="00BD545A">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996AE9">
            <w:rPr>
              <w:rStyle w:val="PageNumber"/>
              <w:rFonts w:cs="Arial"/>
              <w:noProof/>
              <w:szCs w:val="22"/>
            </w:rPr>
            <w:t>4</w:t>
          </w:r>
          <w:r w:rsidRPr="003D7214">
            <w:rPr>
              <w:rStyle w:val="PageNumber"/>
              <w:rFonts w:cs="Arial"/>
              <w:szCs w:val="22"/>
            </w:rPr>
            <w:fldChar w:fldCharType="end"/>
          </w:r>
        </w:p>
      </w:tc>
      <w:tc>
        <w:tcPr>
          <w:tcW w:w="6095" w:type="dxa"/>
        </w:tcPr>
        <w:p w:rsidR="003C0F16" w:rsidRPr="004F5D6D" w:rsidRDefault="003C0F16" w:rsidP="00BD545A">
          <w:pPr>
            <w:pStyle w:val="Foote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3C0F16" w:rsidRPr="00451BF5" w:rsidRDefault="003C0F16" w:rsidP="00BD545A">
          <w:pPr>
            <w:spacing w:line="240" w:lineRule="exact"/>
            <w:jc w:val="right"/>
            <w:rPr>
              <w:rStyle w:val="PageNumber"/>
            </w:rPr>
          </w:pPr>
        </w:p>
      </w:tc>
    </w:tr>
  </w:tbl>
  <w:p w:rsidR="003C0F16" w:rsidRDefault="003C0F16" w:rsidP="00D21740">
    <w:pPr>
      <w:pStyle w:val="FooterDraft"/>
    </w:pPr>
  </w:p>
  <w:p w:rsidR="003C0F16" w:rsidRDefault="003C0F16" w:rsidP="00BD545A">
    <w:pPr>
      <w:pStyle w:val="FooterInfo"/>
    </w:pPr>
    <w:r w:rsidRPr="00974D8C">
      <w:t xml:space="preserve"> </w:t>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Default="003C0F16"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Default="003C0F16" w:rsidP="00BD545A">
          <w:pPr>
            <w:spacing w:line="240" w:lineRule="exact"/>
          </w:pPr>
        </w:p>
      </w:tc>
      <w:tc>
        <w:tcPr>
          <w:tcW w:w="6095" w:type="dxa"/>
        </w:tcPr>
        <w:p w:rsidR="003C0F16" w:rsidRPr="004F5D6D" w:rsidRDefault="0016533D" w:rsidP="00BD545A">
          <w:pPr>
            <w:pStyle w:val="FooterCitation"/>
          </w:pPr>
          <w:fldSimple w:instr=" STYLEREF  Title  ">
            <w:r w:rsidR="003C0F16">
              <w:rPr>
                <w:noProof/>
              </w:rPr>
              <w:t>National Capital Plan – Amendment XX - XXXXXX1</w:t>
            </w:r>
          </w:fldSimple>
        </w:p>
      </w:tc>
      <w:tc>
        <w:tcPr>
          <w:tcW w:w="1134" w:type="dxa"/>
        </w:tcPr>
        <w:p w:rsidR="003C0F16" w:rsidRPr="003D7214" w:rsidRDefault="003C0F16" w:rsidP="00BD545A">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3</w:t>
          </w:r>
          <w:r w:rsidRPr="003D7214">
            <w:rPr>
              <w:rStyle w:val="PageNumber"/>
              <w:rFonts w:cs="Arial"/>
              <w:szCs w:val="22"/>
            </w:rPr>
            <w:fldChar w:fldCharType="end"/>
          </w:r>
        </w:p>
      </w:tc>
    </w:tr>
  </w:tbl>
  <w:p w:rsidR="003C0F16" w:rsidRDefault="003C0F16" w:rsidP="00D21740">
    <w:pPr>
      <w:pStyle w:val="FooterDraft"/>
    </w:pPr>
  </w:p>
  <w:p w:rsidR="003C0F16" w:rsidRDefault="003C0F16" w:rsidP="00BD545A">
    <w:pPr>
      <w:pStyle w:val="FooterInfo"/>
    </w:pPr>
    <w:r w:rsidRPr="00974D8C">
      <w:t xml:space="preserve"> </w:t>
    </w: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Default="003C0F16" w:rsidP="00D21740">
    <w:pPr>
      <w:pStyle w:val="FooterDraft"/>
    </w:pPr>
  </w:p>
  <w:p w:rsidR="003C0F16" w:rsidRPr="00974D8C" w:rsidRDefault="003C0F16">
    <w:pPr>
      <w:pStyle w:val="FooterInfo"/>
    </w:pPr>
    <w:r>
      <w:rPr>
        <w:noProof/>
      </w:rPr>
      <w:t>0823198A-080924Z.doc</w:t>
    </w:r>
    <w:r w:rsidRPr="00974D8C">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Default="003C0F16">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Default="003C0F16">
          <w:pPr>
            <w:spacing w:line="240" w:lineRule="exact"/>
          </w:pPr>
        </w:p>
      </w:tc>
      <w:tc>
        <w:tcPr>
          <w:tcW w:w="6095" w:type="dxa"/>
        </w:tcPr>
        <w:p w:rsidR="003C0F16" w:rsidRPr="004F5D6D" w:rsidRDefault="0016533D">
          <w:pPr>
            <w:pStyle w:val="FooterCitation"/>
          </w:pPr>
          <w:fldSimple w:instr=" STYLEREF  Title  ">
            <w:r w:rsidR="003C0F16">
              <w:rPr>
                <w:noProof/>
              </w:rPr>
              <w:t>National Capital Plan – Amendment XX - XXXXXX1</w:t>
            </w:r>
          </w:fldSimple>
        </w:p>
      </w:tc>
      <w:tc>
        <w:tcPr>
          <w:tcW w:w="1134" w:type="dxa"/>
        </w:tcPr>
        <w:p w:rsidR="003C0F16" w:rsidRPr="003D7214" w:rsidRDefault="003C0F16">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3</w:t>
          </w:r>
          <w:r w:rsidRPr="003D7214">
            <w:rPr>
              <w:rStyle w:val="PageNumber"/>
              <w:rFonts w:cs="Arial"/>
              <w:szCs w:val="22"/>
            </w:rPr>
            <w:fldChar w:fldCharType="end"/>
          </w:r>
        </w:p>
      </w:tc>
    </w:tr>
  </w:tbl>
  <w:p w:rsidR="003C0F16" w:rsidRDefault="003C0F16" w:rsidP="00D21740">
    <w:pPr>
      <w:pStyle w:val="FooterDraft"/>
    </w:pPr>
  </w:p>
  <w:p w:rsidR="003C0F16" w:rsidRDefault="003C0F16">
    <w:pPr>
      <w:pStyle w:val="FooterInfo"/>
    </w:pPr>
    <w:r w:rsidRPr="00974D8C">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Default="003C0F16" w:rsidP="00D21740">
    <w:pPr>
      <w:pStyle w:val="FooterDraft"/>
    </w:pPr>
  </w:p>
  <w:p w:rsidR="003C0F16" w:rsidRPr="00974D8C" w:rsidRDefault="003C0F16">
    <w:pPr>
      <w:pStyle w:val="FooterInf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Default="003C0F16">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Pr="003D7214" w:rsidRDefault="003C0F16">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4</w:t>
          </w:r>
          <w:r w:rsidRPr="003D7214">
            <w:rPr>
              <w:rStyle w:val="PageNumber"/>
              <w:rFonts w:cs="Arial"/>
              <w:szCs w:val="22"/>
            </w:rPr>
            <w:fldChar w:fldCharType="end"/>
          </w:r>
        </w:p>
      </w:tc>
      <w:tc>
        <w:tcPr>
          <w:tcW w:w="6095" w:type="dxa"/>
        </w:tcPr>
        <w:p w:rsidR="003C0F16" w:rsidRPr="004F5D6D" w:rsidRDefault="0016533D">
          <w:pPr>
            <w:pStyle w:val="Footer"/>
            <w:spacing w:before="20" w:line="240" w:lineRule="exact"/>
          </w:pPr>
          <w:fldSimple w:instr=" STYLEREF  Title  ">
            <w:r w:rsidR="003C0F16">
              <w:rPr>
                <w:noProof/>
              </w:rPr>
              <w:t>National Capital Plan – Amendment XX - XXXXXX1</w:t>
            </w:r>
          </w:fldSimple>
        </w:p>
      </w:tc>
      <w:tc>
        <w:tcPr>
          <w:tcW w:w="1134" w:type="dxa"/>
        </w:tcPr>
        <w:p w:rsidR="003C0F16" w:rsidRPr="00451BF5" w:rsidRDefault="003C0F16">
          <w:pPr>
            <w:spacing w:line="240" w:lineRule="exact"/>
            <w:jc w:val="right"/>
            <w:rPr>
              <w:rStyle w:val="PageNumber"/>
            </w:rPr>
          </w:pPr>
        </w:p>
      </w:tc>
    </w:tr>
  </w:tbl>
  <w:p w:rsidR="003C0F16" w:rsidRDefault="003C0F16" w:rsidP="00D21740">
    <w:pPr>
      <w:pStyle w:val="FooterDraft"/>
    </w:pPr>
  </w:p>
  <w:p w:rsidR="003C0F16" w:rsidRDefault="003C0F16">
    <w:pPr>
      <w:pStyle w:val="FooterInfo"/>
    </w:pPr>
    <w:r w:rsidRPr="00974D8C">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Default="003C0F16">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Default="003C0F16">
          <w:pPr>
            <w:spacing w:line="240" w:lineRule="exact"/>
          </w:pPr>
        </w:p>
      </w:tc>
      <w:tc>
        <w:tcPr>
          <w:tcW w:w="6095" w:type="dxa"/>
        </w:tcPr>
        <w:p w:rsidR="003C0F16" w:rsidRPr="004F5D6D" w:rsidRDefault="0016533D">
          <w:pPr>
            <w:pStyle w:val="FooterCitation"/>
          </w:pPr>
          <w:fldSimple w:instr=" STYLEREF  Title  ">
            <w:r w:rsidR="003C0F16">
              <w:rPr>
                <w:noProof/>
              </w:rPr>
              <w:t>National Capital Plan – Amendment XX - XXXXXX1</w:t>
            </w:r>
          </w:fldSimple>
        </w:p>
      </w:tc>
      <w:tc>
        <w:tcPr>
          <w:tcW w:w="1134" w:type="dxa"/>
        </w:tcPr>
        <w:p w:rsidR="003C0F16" w:rsidRPr="003D7214" w:rsidRDefault="003C0F16">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Pr>
              <w:rStyle w:val="PageNumber"/>
              <w:rFonts w:cs="Arial"/>
              <w:noProof/>
              <w:szCs w:val="22"/>
            </w:rPr>
            <w:t>5</w:t>
          </w:r>
          <w:r w:rsidRPr="003D7214">
            <w:rPr>
              <w:rStyle w:val="PageNumber"/>
              <w:rFonts w:cs="Arial"/>
              <w:szCs w:val="22"/>
            </w:rPr>
            <w:fldChar w:fldCharType="end"/>
          </w:r>
        </w:p>
      </w:tc>
    </w:tr>
  </w:tbl>
  <w:p w:rsidR="003C0F16" w:rsidRDefault="003C0F16" w:rsidP="00D21740">
    <w:pPr>
      <w:pStyle w:val="FooterDraft"/>
    </w:pPr>
  </w:p>
  <w:p w:rsidR="003C0F16" w:rsidRDefault="003C0F16">
    <w:pPr>
      <w:pStyle w:val="FooterInfo"/>
    </w:pPr>
    <w:r w:rsidRPr="00974D8C">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Default="003C0F16">
    <w:pPr>
      <w:spacing w:line="200" w:lineRule="exact"/>
      <w:ind w:right="360"/>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Pr="003D7214" w:rsidRDefault="003C0F16">
          <w:pPr>
            <w:spacing w:line="240" w:lineRule="exact"/>
            <w:rPr>
              <w:rFonts w:ascii="Arial" w:hAnsi="Arial" w:cs="Arial"/>
              <w:sz w:val="22"/>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D2A6E">
            <w:rPr>
              <w:rStyle w:val="PageNumber"/>
              <w:rFonts w:cs="Arial"/>
              <w:noProof/>
              <w:szCs w:val="22"/>
            </w:rPr>
            <w:t>2</w:t>
          </w:r>
          <w:r w:rsidRPr="003D7214">
            <w:rPr>
              <w:rStyle w:val="PageNumber"/>
              <w:rFonts w:cs="Arial"/>
              <w:szCs w:val="22"/>
            </w:rPr>
            <w:fldChar w:fldCharType="end"/>
          </w:r>
        </w:p>
      </w:tc>
      <w:tc>
        <w:tcPr>
          <w:tcW w:w="6095" w:type="dxa"/>
        </w:tcPr>
        <w:p w:rsidR="003C0F16" w:rsidRPr="004F5D6D" w:rsidRDefault="003C0F16">
          <w:pPr>
            <w:pStyle w:val="Footer"/>
            <w:spacing w:before="20" w:line="240" w:lineRule="exact"/>
          </w:pPr>
          <w:r>
            <w:t>Nati</w:t>
          </w:r>
          <w:r w:rsidR="00996AE9">
            <w:t>onal Capital Plan – Amendment 93 – City and Gateway Urban Design Provisions Technical Changes</w:t>
          </w:r>
        </w:p>
      </w:tc>
      <w:tc>
        <w:tcPr>
          <w:tcW w:w="1134" w:type="dxa"/>
        </w:tcPr>
        <w:p w:rsidR="003C0F16" w:rsidRPr="00451BF5" w:rsidRDefault="003C0F16">
          <w:pPr>
            <w:spacing w:line="240" w:lineRule="exact"/>
            <w:jc w:val="right"/>
            <w:rPr>
              <w:rStyle w:val="PageNumber"/>
            </w:rPr>
          </w:pPr>
        </w:p>
      </w:tc>
    </w:tr>
  </w:tbl>
  <w:p w:rsidR="003C0F16" w:rsidRDefault="003C0F16" w:rsidP="00D21740">
    <w:pPr>
      <w:pStyle w:val="FooterDraft"/>
    </w:pPr>
  </w:p>
  <w:p w:rsidR="003C0F16" w:rsidRDefault="003C0F16">
    <w:pPr>
      <w:pStyle w:val="FooterInfo"/>
    </w:pPr>
    <w:r w:rsidRPr="00974D8C">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Default="003C0F16">
    <w:pPr>
      <w:spacing w:line="200" w:lineRule="exact"/>
    </w:pPr>
  </w:p>
  <w:tbl>
    <w:tblPr>
      <w:tblStyle w:val="TableGrid"/>
      <w:tblW w:w="0" w:type="auto"/>
      <w:tblInd w:w="108"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34"/>
      <w:gridCol w:w="6095"/>
      <w:gridCol w:w="1134"/>
    </w:tblGrid>
    <w:tr w:rsidR="003C0F16">
      <w:tc>
        <w:tcPr>
          <w:tcW w:w="1134" w:type="dxa"/>
        </w:tcPr>
        <w:p w:rsidR="003C0F16" w:rsidRDefault="003C0F16">
          <w:pPr>
            <w:spacing w:line="240" w:lineRule="exact"/>
          </w:pPr>
        </w:p>
      </w:tc>
      <w:tc>
        <w:tcPr>
          <w:tcW w:w="6095" w:type="dxa"/>
        </w:tcPr>
        <w:p w:rsidR="003C0F16" w:rsidRPr="004F5D6D" w:rsidRDefault="0016533D" w:rsidP="00996AE9">
          <w:pPr>
            <w:pStyle w:val="FooterCitation"/>
          </w:pPr>
          <w:fldSimple w:instr=" STYLEREF  Title  ">
            <w:r w:rsidR="00AD2A6E">
              <w:rPr>
                <w:noProof/>
              </w:rPr>
              <w:t>National Capital Plan – Amendment 93 – City and Gateway Urban Design Provisions Technical Changes1</w:t>
            </w:r>
          </w:fldSimple>
        </w:p>
      </w:tc>
      <w:tc>
        <w:tcPr>
          <w:tcW w:w="1134" w:type="dxa"/>
        </w:tcPr>
        <w:p w:rsidR="003C0F16" w:rsidRPr="003D7214" w:rsidRDefault="003C0F16">
          <w:pPr>
            <w:spacing w:line="240" w:lineRule="exact"/>
            <w:jc w:val="right"/>
            <w:rPr>
              <w:rStyle w:val="PageNumber"/>
              <w:rFonts w:cs="Arial"/>
              <w:szCs w:val="22"/>
            </w:rPr>
          </w:pPr>
          <w:r w:rsidRPr="003D7214">
            <w:rPr>
              <w:rStyle w:val="PageNumber"/>
              <w:rFonts w:cs="Arial"/>
              <w:szCs w:val="22"/>
            </w:rPr>
            <w:fldChar w:fldCharType="begin"/>
          </w:r>
          <w:r w:rsidRPr="003D7214">
            <w:rPr>
              <w:rStyle w:val="PageNumber"/>
              <w:rFonts w:cs="Arial"/>
              <w:szCs w:val="22"/>
            </w:rPr>
            <w:instrText xml:space="preserve">PAGE  </w:instrText>
          </w:r>
          <w:r w:rsidRPr="003D7214">
            <w:rPr>
              <w:rStyle w:val="PageNumber"/>
              <w:rFonts w:cs="Arial"/>
              <w:szCs w:val="22"/>
            </w:rPr>
            <w:fldChar w:fldCharType="separate"/>
          </w:r>
          <w:r w:rsidR="00AD2A6E">
            <w:rPr>
              <w:rStyle w:val="PageNumber"/>
              <w:rFonts w:cs="Arial"/>
              <w:noProof/>
              <w:szCs w:val="22"/>
            </w:rPr>
            <w:t>3</w:t>
          </w:r>
          <w:r w:rsidRPr="003D7214">
            <w:rPr>
              <w:rStyle w:val="PageNumber"/>
              <w:rFonts w:cs="Arial"/>
              <w:szCs w:val="22"/>
            </w:rPr>
            <w:fldChar w:fldCharType="end"/>
          </w:r>
        </w:p>
      </w:tc>
    </w:tr>
  </w:tbl>
  <w:p w:rsidR="003C0F16" w:rsidRDefault="003C0F16" w:rsidP="00D21740">
    <w:pPr>
      <w:pStyle w:val="FooterDraft"/>
    </w:pPr>
  </w:p>
  <w:p w:rsidR="003C0F16" w:rsidRDefault="003C0F16">
    <w:pPr>
      <w:pStyle w:val="FooterInfo"/>
    </w:pPr>
    <w:r w:rsidRPr="00974D8C">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Default="003C0F16">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C0F16">
      <w:tc>
        <w:tcPr>
          <w:tcW w:w="1134" w:type="dxa"/>
          <w:shd w:val="clear" w:color="auto" w:fill="auto"/>
        </w:tcPr>
        <w:p w:rsidR="003C0F16" w:rsidRPr="003D7214" w:rsidRDefault="003C0F16">
          <w:pPr>
            <w:spacing w:line="240" w:lineRule="exact"/>
            <w:rPr>
              <w:rFonts w:ascii="Arial" w:hAnsi="Arial" w:cs="Arial"/>
              <w:sz w:val="22"/>
              <w:szCs w:val="22"/>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2</w:t>
          </w:r>
          <w:r w:rsidRPr="003D7214">
            <w:rPr>
              <w:rStyle w:val="PageNumber"/>
              <w:rFonts w:cs="Arial"/>
            </w:rPr>
            <w:fldChar w:fldCharType="end"/>
          </w:r>
        </w:p>
      </w:tc>
      <w:tc>
        <w:tcPr>
          <w:tcW w:w="6095" w:type="dxa"/>
          <w:shd w:val="clear" w:color="auto" w:fill="auto"/>
        </w:tcPr>
        <w:p w:rsidR="003C0F16" w:rsidRPr="004F5D6D" w:rsidRDefault="003C0F16">
          <w:pPr>
            <w:pStyle w:val="FooterCitation"/>
          </w:pPr>
          <w:r w:rsidRPr="00EF2F9D">
            <w:fldChar w:fldCharType="begin"/>
          </w:r>
          <w:r w:rsidRPr="00EF2F9D">
            <w:instrText xml:space="preserve"> REF  Citation\*charformat </w:instrText>
          </w:r>
          <w:r w:rsidRPr="00EF2F9D">
            <w:fldChar w:fldCharType="separate"/>
          </w:r>
          <w:r>
            <w:rPr>
              <w:b/>
              <w:bCs/>
              <w:lang w:val="en-US"/>
            </w:rPr>
            <w:t>Error! Reference source not found.</w:t>
          </w:r>
          <w:r w:rsidRPr="00EF2F9D">
            <w:fldChar w:fldCharType="end"/>
          </w:r>
        </w:p>
      </w:tc>
      <w:tc>
        <w:tcPr>
          <w:tcW w:w="1134" w:type="dxa"/>
          <w:shd w:val="clear" w:color="auto" w:fill="auto"/>
        </w:tcPr>
        <w:p w:rsidR="003C0F16" w:rsidRPr="00451BF5" w:rsidRDefault="003C0F16">
          <w:pPr>
            <w:spacing w:line="240" w:lineRule="exact"/>
            <w:jc w:val="right"/>
            <w:rPr>
              <w:rStyle w:val="PageNumber"/>
            </w:rPr>
          </w:pPr>
        </w:p>
      </w:tc>
    </w:tr>
  </w:tbl>
  <w:p w:rsidR="003C0F16" w:rsidRDefault="003C0F16" w:rsidP="00D21740">
    <w:pPr>
      <w:pStyle w:val="FooterDraft"/>
    </w:pPr>
  </w:p>
  <w:p w:rsidR="003C0F16" w:rsidRDefault="003C0F16">
    <w:pPr>
      <w:pStyle w:val="FooterInfo"/>
    </w:pPr>
    <w:r w:rsidRPr="00974D8C">
      <w:t xml:space="preserve"> </w:t>
    </w:r>
    <w:r>
      <w:t xml:space="preserve"> </w:t>
    </w:r>
  </w:p>
  <w:p w:rsidR="003C0F16" w:rsidRPr="0055794B" w:rsidRDefault="003C0F1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Default="003C0F16">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C0F16">
      <w:tc>
        <w:tcPr>
          <w:tcW w:w="1134" w:type="dxa"/>
          <w:shd w:val="clear" w:color="auto" w:fill="auto"/>
        </w:tcPr>
        <w:p w:rsidR="003C0F16" w:rsidRDefault="003C0F16">
          <w:pPr>
            <w:spacing w:line="240" w:lineRule="exact"/>
          </w:pPr>
        </w:p>
      </w:tc>
      <w:tc>
        <w:tcPr>
          <w:tcW w:w="6095" w:type="dxa"/>
          <w:shd w:val="clear" w:color="auto" w:fill="auto"/>
        </w:tcPr>
        <w:p w:rsidR="003C0F16" w:rsidRPr="004F5D6D" w:rsidRDefault="003C0F16">
          <w:pPr>
            <w:pStyle w:val="FooterCitation"/>
          </w:pPr>
          <w:r w:rsidRPr="00EF2F9D">
            <w:fldChar w:fldCharType="begin"/>
          </w:r>
          <w:r w:rsidRPr="00EF2F9D">
            <w:instrText xml:space="preserve"> REF  Citation\*charformat </w:instrText>
          </w:r>
          <w:r w:rsidRPr="00EF2F9D">
            <w:fldChar w:fldCharType="separate"/>
          </w:r>
          <w:r>
            <w:rPr>
              <w:b/>
              <w:bCs/>
              <w:lang w:val="en-US"/>
            </w:rPr>
            <w:t>Error! Reference source not found.</w:t>
          </w:r>
          <w:r w:rsidRPr="00EF2F9D">
            <w:fldChar w:fldCharType="end"/>
          </w:r>
        </w:p>
      </w:tc>
      <w:tc>
        <w:tcPr>
          <w:tcW w:w="1134" w:type="dxa"/>
          <w:shd w:val="clear" w:color="auto" w:fill="auto"/>
        </w:tcPr>
        <w:p w:rsidR="003C0F16" w:rsidRPr="003D7214" w:rsidRDefault="003C0F16">
          <w:pPr>
            <w:spacing w:line="240" w:lineRule="exact"/>
            <w:jc w:val="right"/>
            <w:rPr>
              <w:rStyle w:val="PageNumber"/>
              <w:rFonts w:cs="Arial"/>
            </w:rPr>
          </w:pPr>
          <w:r w:rsidRPr="003D7214">
            <w:rPr>
              <w:rStyle w:val="PageNumber"/>
              <w:rFonts w:cs="Arial"/>
            </w:rPr>
            <w:fldChar w:fldCharType="begin"/>
          </w:r>
          <w:r w:rsidRPr="003D7214">
            <w:rPr>
              <w:rStyle w:val="PageNumber"/>
              <w:rFonts w:cs="Arial"/>
            </w:rPr>
            <w:instrText xml:space="preserve">PAGE  </w:instrText>
          </w:r>
          <w:r w:rsidRPr="003D7214">
            <w:rPr>
              <w:rStyle w:val="PageNumber"/>
              <w:rFonts w:cs="Arial"/>
            </w:rPr>
            <w:fldChar w:fldCharType="separate"/>
          </w:r>
          <w:r>
            <w:rPr>
              <w:rStyle w:val="PageNumber"/>
              <w:rFonts w:cs="Arial"/>
              <w:noProof/>
            </w:rPr>
            <w:t>9</w:t>
          </w:r>
          <w:r w:rsidRPr="003D7214">
            <w:rPr>
              <w:rStyle w:val="PageNumber"/>
              <w:rFonts w:cs="Arial"/>
            </w:rPr>
            <w:fldChar w:fldCharType="end"/>
          </w:r>
        </w:p>
      </w:tc>
    </w:tr>
  </w:tbl>
  <w:p w:rsidR="003C0F16" w:rsidRDefault="003C0F16" w:rsidP="00D21740">
    <w:pPr>
      <w:pStyle w:val="FooterDraft"/>
    </w:pPr>
  </w:p>
  <w:p w:rsidR="003C0F16" w:rsidRDefault="003C0F16">
    <w:pPr>
      <w:pStyle w:val="FooterInfo"/>
    </w:pPr>
    <w:r w:rsidRPr="00974D8C">
      <w:t xml:space="preserve"> </w:t>
    </w:r>
    <w:r>
      <w:t xml:space="preserve"> </w:t>
    </w:r>
  </w:p>
  <w:p w:rsidR="003C0F16" w:rsidRPr="00C83A6D" w:rsidRDefault="003C0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35C" w:rsidRDefault="00E8435C">
      <w:r>
        <w:separator/>
      </w:r>
    </w:p>
  </w:footnote>
  <w:footnote w:type="continuationSeparator" w:id="0">
    <w:p w:rsidR="00E8435C" w:rsidRDefault="00E84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3C0F16">
      <w:tc>
        <w:tcPr>
          <w:tcW w:w="8385" w:type="dxa"/>
        </w:tcPr>
        <w:p w:rsidR="003C0F16" w:rsidRDefault="003C0F16">
          <w:pPr>
            <w:pStyle w:val="HeaderLiteEven"/>
          </w:pPr>
        </w:p>
      </w:tc>
    </w:tr>
    <w:tr w:rsidR="003C0F16">
      <w:tc>
        <w:tcPr>
          <w:tcW w:w="8385" w:type="dxa"/>
        </w:tcPr>
        <w:p w:rsidR="003C0F16" w:rsidRDefault="003C0F16">
          <w:pPr>
            <w:pStyle w:val="HeaderLiteEven"/>
          </w:pPr>
        </w:p>
      </w:tc>
    </w:tr>
    <w:tr w:rsidR="003C0F16">
      <w:tc>
        <w:tcPr>
          <w:tcW w:w="8385" w:type="dxa"/>
        </w:tcPr>
        <w:p w:rsidR="003C0F16" w:rsidRDefault="003C0F16">
          <w:pPr>
            <w:pStyle w:val="HeaderBoldEven"/>
          </w:pPr>
        </w:p>
      </w:tc>
    </w:tr>
  </w:tbl>
  <w:p w:rsidR="003C0F16" w:rsidRDefault="003C0F16"/>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3C0F16">
      <w:tc>
        <w:tcPr>
          <w:tcW w:w="1494" w:type="dxa"/>
        </w:tcPr>
        <w:p w:rsidR="003C0F16" w:rsidRDefault="003C0F16" w:rsidP="00BD545A">
          <w:pPr>
            <w:pStyle w:val="HeaderLiteEven"/>
          </w:pPr>
        </w:p>
      </w:tc>
      <w:tc>
        <w:tcPr>
          <w:tcW w:w="6891" w:type="dxa"/>
        </w:tcPr>
        <w:p w:rsidR="003C0F16" w:rsidRDefault="003C0F16" w:rsidP="00BD545A">
          <w:pPr>
            <w:pStyle w:val="HeaderLiteEven"/>
          </w:pPr>
        </w:p>
      </w:tc>
    </w:tr>
    <w:tr w:rsidR="003C0F16">
      <w:tc>
        <w:tcPr>
          <w:tcW w:w="1494" w:type="dxa"/>
        </w:tcPr>
        <w:p w:rsidR="003C0F16" w:rsidRDefault="003C0F16" w:rsidP="00BD545A">
          <w:pPr>
            <w:pStyle w:val="HeaderLiteEven"/>
          </w:pPr>
        </w:p>
      </w:tc>
      <w:tc>
        <w:tcPr>
          <w:tcW w:w="6891" w:type="dxa"/>
        </w:tcPr>
        <w:p w:rsidR="003C0F16" w:rsidRDefault="003C0F16" w:rsidP="00BD545A">
          <w:pPr>
            <w:pStyle w:val="HeaderLiteEven"/>
          </w:pPr>
        </w:p>
      </w:tc>
    </w:tr>
    <w:tr w:rsidR="003C0F16">
      <w:tc>
        <w:tcPr>
          <w:tcW w:w="8385" w:type="dxa"/>
          <w:gridSpan w:val="2"/>
          <w:tcBorders>
            <w:bottom w:val="single" w:sz="4" w:space="0" w:color="auto"/>
          </w:tcBorders>
        </w:tcPr>
        <w:p w:rsidR="003C0F16" w:rsidRDefault="003C0F16" w:rsidP="00BD545A">
          <w:pPr>
            <w:pStyle w:val="HeaderBoldEven"/>
          </w:pPr>
        </w:p>
      </w:tc>
    </w:tr>
  </w:tbl>
  <w:p w:rsidR="003C0F16" w:rsidRDefault="003C0F16" w:rsidP="00BD545A"/>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3C0F16">
      <w:tc>
        <w:tcPr>
          <w:tcW w:w="6914" w:type="dxa"/>
        </w:tcPr>
        <w:p w:rsidR="003C0F16" w:rsidRDefault="003C0F16" w:rsidP="00BD545A">
          <w:pPr>
            <w:pStyle w:val="HeaderLiteOdd"/>
          </w:pPr>
        </w:p>
      </w:tc>
      <w:tc>
        <w:tcPr>
          <w:tcW w:w="1471" w:type="dxa"/>
        </w:tcPr>
        <w:p w:rsidR="003C0F16" w:rsidRDefault="003C0F16" w:rsidP="00BD545A">
          <w:pPr>
            <w:pStyle w:val="HeaderLiteOdd"/>
          </w:pPr>
        </w:p>
      </w:tc>
    </w:tr>
    <w:tr w:rsidR="003C0F16">
      <w:tc>
        <w:tcPr>
          <w:tcW w:w="6914" w:type="dxa"/>
        </w:tcPr>
        <w:p w:rsidR="003C0F16" w:rsidRDefault="003C0F16" w:rsidP="00BD545A">
          <w:pPr>
            <w:pStyle w:val="HeaderLiteOdd"/>
          </w:pPr>
        </w:p>
      </w:tc>
      <w:tc>
        <w:tcPr>
          <w:tcW w:w="1471" w:type="dxa"/>
        </w:tcPr>
        <w:p w:rsidR="003C0F16" w:rsidRDefault="003C0F16" w:rsidP="00BD545A">
          <w:pPr>
            <w:pStyle w:val="HeaderLiteOdd"/>
          </w:pPr>
        </w:p>
      </w:tc>
    </w:tr>
    <w:tr w:rsidR="003C0F16">
      <w:tc>
        <w:tcPr>
          <w:tcW w:w="8385" w:type="dxa"/>
          <w:gridSpan w:val="2"/>
          <w:tcBorders>
            <w:bottom w:val="single" w:sz="4" w:space="0" w:color="auto"/>
          </w:tcBorders>
        </w:tcPr>
        <w:p w:rsidR="003C0F16" w:rsidRDefault="003C0F16" w:rsidP="00BD545A">
          <w:pPr>
            <w:pStyle w:val="HeaderBoldOdd"/>
          </w:pPr>
        </w:p>
      </w:tc>
    </w:tr>
  </w:tbl>
  <w:p w:rsidR="003C0F16" w:rsidRDefault="003C0F16" w:rsidP="00BD54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85"/>
    </w:tblGrid>
    <w:tr w:rsidR="003C0F16">
      <w:tc>
        <w:tcPr>
          <w:tcW w:w="8385" w:type="dxa"/>
        </w:tcPr>
        <w:p w:rsidR="003C0F16" w:rsidRDefault="003C0F16"/>
      </w:tc>
    </w:tr>
    <w:tr w:rsidR="003C0F16">
      <w:tc>
        <w:tcPr>
          <w:tcW w:w="8385" w:type="dxa"/>
        </w:tcPr>
        <w:p w:rsidR="003C0F16" w:rsidRDefault="003C0F16"/>
      </w:tc>
    </w:tr>
    <w:tr w:rsidR="003C0F16">
      <w:tc>
        <w:tcPr>
          <w:tcW w:w="8385" w:type="dxa"/>
        </w:tcPr>
        <w:p w:rsidR="003C0F16" w:rsidRDefault="003C0F16"/>
      </w:tc>
    </w:tr>
  </w:tbl>
  <w:p w:rsidR="003C0F16" w:rsidRDefault="003C0F1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94"/>
      <w:gridCol w:w="6891"/>
    </w:tblGrid>
    <w:tr w:rsidR="003C0F16">
      <w:trPr>
        <w:cantSplit/>
      </w:trPr>
      <w:tc>
        <w:tcPr>
          <w:tcW w:w="1494" w:type="dxa"/>
        </w:tcPr>
        <w:p w:rsidR="003C0F16" w:rsidRDefault="003C0F16">
          <w:pPr>
            <w:pStyle w:val="HeaderLiteEven"/>
          </w:pPr>
        </w:p>
      </w:tc>
      <w:tc>
        <w:tcPr>
          <w:tcW w:w="6891" w:type="dxa"/>
          <w:vAlign w:val="bottom"/>
        </w:tcPr>
        <w:p w:rsidR="003C0F16" w:rsidRDefault="003C0F16">
          <w:pPr>
            <w:pStyle w:val="HeaderLiteEven"/>
          </w:pPr>
        </w:p>
      </w:tc>
    </w:tr>
    <w:tr w:rsidR="003C0F16">
      <w:trPr>
        <w:cantSplit/>
      </w:trPr>
      <w:tc>
        <w:tcPr>
          <w:tcW w:w="1494" w:type="dxa"/>
        </w:tcPr>
        <w:p w:rsidR="003C0F16" w:rsidRDefault="003C0F16">
          <w:pPr>
            <w:pStyle w:val="HeaderLiteEven"/>
          </w:pPr>
        </w:p>
      </w:tc>
      <w:tc>
        <w:tcPr>
          <w:tcW w:w="6891" w:type="dxa"/>
          <w:vAlign w:val="bottom"/>
        </w:tcPr>
        <w:p w:rsidR="003C0F16" w:rsidRDefault="003C0F16">
          <w:pPr>
            <w:pStyle w:val="HeaderLiteEven"/>
          </w:pPr>
        </w:p>
      </w:tc>
    </w:tr>
    <w:tr w:rsidR="003C0F16">
      <w:trPr>
        <w:cantSplit/>
      </w:trPr>
      <w:tc>
        <w:tcPr>
          <w:tcW w:w="8385" w:type="dxa"/>
          <w:gridSpan w:val="2"/>
        </w:tcPr>
        <w:p w:rsidR="003C0F16" w:rsidRDefault="003C0F16" w:rsidP="00F55498">
          <w:pPr>
            <w:pStyle w:val="HeaderBoldEven"/>
          </w:pPr>
          <w:r>
            <w:t xml:space="preserve">Section </w:t>
          </w:r>
          <w:fldSimple w:instr=" STYLEREF CharSectNo \*Charformat ">
            <w:r>
              <w:rPr>
                <w:noProof/>
              </w:rPr>
              <w:t>1</w:t>
            </w:r>
          </w:fldSimple>
        </w:p>
      </w:tc>
    </w:tr>
  </w:tbl>
  <w:p w:rsidR="003C0F16" w:rsidRDefault="003C0F1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99"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14"/>
      <w:gridCol w:w="1485"/>
    </w:tblGrid>
    <w:tr w:rsidR="003C0F16">
      <w:trPr>
        <w:cantSplit/>
      </w:trPr>
      <w:tc>
        <w:tcPr>
          <w:tcW w:w="6914" w:type="dxa"/>
          <w:vAlign w:val="bottom"/>
        </w:tcPr>
        <w:p w:rsidR="003C0F16" w:rsidRDefault="003C0F16">
          <w:pPr>
            <w:pStyle w:val="HeaderLiteOdd"/>
          </w:pPr>
        </w:p>
      </w:tc>
      <w:tc>
        <w:tcPr>
          <w:tcW w:w="1485" w:type="dxa"/>
        </w:tcPr>
        <w:p w:rsidR="003C0F16" w:rsidRDefault="003C0F16">
          <w:pPr>
            <w:pStyle w:val="HeaderLiteOdd"/>
          </w:pPr>
        </w:p>
      </w:tc>
    </w:tr>
    <w:tr w:rsidR="003C0F16">
      <w:trPr>
        <w:cantSplit/>
      </w:trPr>
      <w:tc>
        <w:tcPr>
          <w:tcW w:w="6914" w:type="dxa"/>
          <w:vAlign w:val="bottom"/>
        </w:tcPr>
        <w:p w:rsidR="003C0F16" w:rsidRDefault="003C0F16">
          <w:pPr>
            <w:pStyle w:val="HeaderLiteOdd"/>
          </w:pPr>
        </w:p>
      </w:tc>
      <w:tc>
        <w:tcPr>
          <w:tcW w:w="1485" w:type="dxa"/>
        </w:tcPr>
        <w:p w:rsidR="003C0F16" w:rsidRDefault="003C0F16">
          <w:pPr>
            <w:pStyle w:val="HeaderLiteOdd"/>
          </w:pPr>
        </w:p>
      </w:tc>
    </w:tr>
    <w:tr w:rsidR="003C0F16">
      <w:trPr>
        <w:cantSplit/>
      </w:trPr>
      <w:tc>
        <w:tcPr>
          <w:tcW w:w="8399" w:type="dxa"/>
          <w:gridSpan w:val="2"/>
        </w:tcPr>
        <w:p w:rsidR="003C0F16" w:rsidRDefault="003C0F16" w:rsidP="00F55498">
          <w:pPr>
            <w:pStyle w:val="HeaderBoldOdd"/>
          </w:pPr>
          <w:r>
            <w:t xml:space="preserve">Section </w:t>
          </w:r>
          <w:fldSimple w:instr=" STYLEREF CharSectNo \*Charformat \l ">
            <w:r>
              <w:rPr>
                <w:noProof/>
              </w:rPr>
              <w:t>1</w:t>
            </w:r>
          </w:fldSimple>
        </w:p>
      </w:tc>
    </w:tr>
  </w:tbl>
  <w:p w:rsidR="003C0F16" w:rsidRDefault="003C0F1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94"/>
      <w:gridCol w:w="6891"/>
    </w:tblGrid>
    <w:tr w:rsidR="003C0F16">
      <w:trPr>
        <w:cantSplit/>
      </w:trPr>
      <w:tc>
        <w:tcPr>
          <w:tcW w:w="1494" w:type="dxa"/>
        </w:tcPr>
        <w:p w:rsidR="003C0F16" w:rsidRDefault="0016533D" w:rsidP="00F55498">
          <w:pPr>
            <w:pStyle w:val="HeaderLiteEven"/>
          </w:pPr>
          <w:fldSimple w:instr=" STYLEREF CharSchNo \*Charformat ">
            <w:r w:rsidR="00AD2A6E">
              <w:rPr>
                <w:noProof/>
              </w:rPr>
              <w:t>Schedule 1</w:t>
            </w:r>
          </w:fldSimple>
        </w:p>
      </w:tc>
      <w:tc>
        <w:tcPr>
          <w:tcW w:w="6891" w:type="dxa"/>
          <w:vAlign w:val="bottom"/>
        </w:tcPr>
        <w:p w:rsidR="003C0F16" w:rsidRDefault="0016533D" w:rsidP="00F55498">
          <w:pPr>
            <w:pStyle w:val="HeaderLiteEven"/>
          </w:pPr>
          <w:fldSimple w:instr=" STYLEREF CharSchText \*Charformat ">
            <w:r w:rsidR="00AD2A6E">
              <w:rPr>
                <w:noProof/>
              </w:rPr>
              <w:t>Amendment</w:t>
            </w:r>
          </w:fldSimple>
        </w:p>
      </w:tc>
    </w:tr>
    <w:tr w:rsidR="003C0F16">
      <w:trPr>
        <w:cantSplit/>
      </w:trPr>
      <w:tc>
        <w:tcPr>
          <w:tcW w:w="1494" w:type="dxa"/>
        </w:tcPr>
        <w:p w:rsidR="003C0F16" w:rsidRDefault="003C0F16" w:rsidP="00F55498">
          <w:pPr>
            <w:pStyle w:val="HeaderLiteEven"/>
          </w:pPr>
          <w:r>
            <w:fldChar w:fldCharType="begin"/>
          </w:r>
          <w:r>
            <w:instrText xml:space="preserve"> STYLEREF CharAmSchPTNo \*Charformat </w:instrText>
          </w:r>
          <w:r>
            <w:fldChar w:fldCharType="end"/>
          </w:r>
        </w:p>
      </w:tc>
      <w:tc>
        <w:tcPr>
          <w:tcW w:w="6891" w:type="dxa"/>
          <w:vAlign w:val="bottom"/>
        </w:tcPr>
        <w:p w:rsidR="003C0F16" w:rsidRDefault="003C0F16" w:rsidP="00F55498">
          <w:pPr>
            <w:pStyle w:val="HeaderLiteEven"/>
          </w:pPr>
          <w:r>
            <w:fldChar w:fldCharType="begin"/>
          </w:r>
          <w:r>
            <w:instrText xml:space="preserve"> STYLEREF CharAmSchPTText \*Charformat </w:instrText>
          </w:r>
          <w:r>
            <w:fldChar w:fldCharType="end"/>
          </w:r>
        </w:p>
      </w:tc>
    </w:tr>
    <w:tr w:rsidR="003C0F16">
      <w:trPr>
        <w:cantSplit/>
      </w:trPr>
      <w:tc>
        <w:tcPr>
          <w:tcW w:w="8385" w:type="dxa"/>
          <w:gridSpan w:val="2"/>
        </w:tcPr>
        <w:p w:rsidR="003C0F16" w:rsidRDefault="003C0F16">
          <w:pPr>
            <w:pStyle w:val="HeaderBoldEven"/>
          </w:pPr>
        </w:p>
      </w:tc>
    </w:tr>
  </w:tbl>
  <w:p w:rsidR="003C0F16" w:rsidRDefault="003C0F1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385" w:type="dxa"/>
      <w:tblInd w:w="80"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14"/>
      <w:gridCol w:w="1471"/>
    </w:tblGrid>
    <w:tr w:rsidR="003C0F16">
      <w:trPr>
        <w:cantSplit/>
      </w:trPr>
      <w:tc>
        <w:tcPr>
          <w:tcW w:w="6914" w:type="dxa"/>
          <w:vAlign w:val="bottom"/>
        </w:tcPr>
        <w:p w:rsidR="003C0F16" w:rsidRDefault="0016533D" w:rsidP="00F55498">
          <w:pPr>
            <w:pStyle w:val="HeaderLiteOdd"/>
          </w:pPr>
          <w:fldSimple w:instr=" STYLEREF CharSchText \*Charformat \l ">
            <w:r w:rsidR="00AD2A6E">
              <w:rPr>
                <w:noProof/>
              </w:rPr>
              <w:t>Amendment</w:t>
            </w:r>
          </w:fldSimple>
        </w:p>
      </w:tc>
      <w:tc>
        <w:tcPr>
          <w:tcW w:w="1471" w:type="dxa"/>
        </w:tcPr>
        <w:p w:rsidR="003C0F16" w:rsidRDefault="0016533D" w:rsidP="00F55498">
          <w:pPr>
            <w:pStyle w:val="HeaderLiteOdd"/>
          </w:pPr>
          <w:fldSimple w:instr=" STYLEREF CharSchNo \*Charformat \l ">
            <w:r w:rsidR="00AD2A6E">
              <w:rPr>
                <w:noProof/>
              </w:rPr>
              <w:t>Schedule 1</w:t>
            </w:r>
          </w:fldSimple>
        </w:p>
      </w:tc>
    </w:tr>
    <w:tr w:rsidR="003C0F16">
      <w:trPr>
        <w:cantSplit/>
      </w:trPr>
      <w:tc>
        <w:tcPr>
          <w:tcW w:w="6914" w:type="dxa"/>
          <w:vAlign w:val="bottom"/>
        </w:tcPr>
        <w:p w:rsidR="003C0F16" w:rsidRDefault="003C0F16" w:rsidP="00F55498">
          <w:pPr>
            <w:pStyle w:val="HeaderLiteOdd"/>
          </w:pPr>
          <w:r>
            <w:fldChar w:fldCharType="begin"/>
          </w:r>
          <w:r>
            <w:instrText xml:space="preserve"> STYLEREF CharAmSchPTText \*Charformat \l </w:instrText>
          </w:r>
          <w:r>
            <w:fldChar w:fldCharType="end"/>
          </w:r>
        </w:p>
      </w:tc>
      <w:tc>
        <w:tcPr>
          <w:tcW w:w="1471" w:type="dxa"/>
        </w:tcPr>
        <w:p w:rsidR="003C0F16" w:rsidRDefault="003C0F16" w:rsidP="00F55498">
          <w:pPr>
            <w:pStyle w:val="HeaderLiteOdd"/>
          </w:pPr>
          <w:r>
            <w:fldChar w:fldCharType="begin"/>
          </w:r>
          <w:r>
            <w:instrText xml:space="preserve"> STYLEREF CharAmSchPTNo \*Charformat \l </w:instrText>
          </w:r>
          <w:r>
            <w:fldChar w:fldCharType="end"/>
          </w:r>
        </w:p>
      </w:tc>
    </w:tr>
    <w:tr w:rsidR="003C0F16">
      <w:trPr>
        <w:cantSplit/>
      </w:trPr>
      <w:tc>
        <w:tcPr>
          <w:tcW w:w="8385" w:type="dxa"/>
          <w:gridSpan w:val="2"/>
        </w:tcPr>
        <w:p w:rsidR="003C0F16" w:rsidRDefault="003C0F16">
          <w:pPr>
            <w:pStyle w:val="HeaderBoldOdd"/>
          </w:pPr>
        </w:p>
      </w:tc>
    </w:tr>
  </w:tbl>
  <w:p w:rsidR="003C0F16" w:rsidRDefault="003C0F1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57" w:type="dxa"/>
      <w:tblLayout w:type="fixed"/>
      <w:tblLook w:val="01E0" w:firstRow="1" w:lastRow="1" w:firstColumn="1" w:lastColumn="1" w:noHBand="0" w:noVBand="0"/>
    </w:tblPr>
    <w:tblGrid>
      <w:gridCol w:w="8357"/>
    </w:tblGrid>
    <w:tr w:rsidR="003C0F16" w:rsidRPr="00375ADF">
      <w:tc>
        <w:tcPr>
          <w:tcW w:w="8357" w:type="dxa"/>
        </w:tcPr>
        <w:p w:rsidR="003C0F16" w:rsidRPr="00375ADF" w:rsidRDefault="003C0F16">
          <w:pPr>
            <w:pStyle w:val="HeaderLiteEven"/>
          </w:pPr>
          <w:r>
            <w:t>Note</w:t>
          </w:r>
        </w:p>
      </w:tc>
    </w:tr>
    <w:tr w:rsidR="003C0F16">
      <w:tc>
        <w:tcPr>
          <w:tcW w:w="8357" w:type="dxa"/>
        </w:tcPr>
        <w:p w:rsidR="003C0F16" w:rsidRDefault="003C0F16">
          <w:pPr>
            <w:pStyle w:val="HeaderLiteEven"/>
          </w:pPr>
        </w:p>
      </w:tc>
    </w:tr>
    <w:tr w:rsidR="003C0F16">
      <w:tc>
        <w:tcPr>
          <w:tcW w:w="8357" w:type="dxa"/>
          <w:tcBorders>
            <w:bottom w:val="single" w:sz="4" w:space="0" w:color="auto"/>
          </w:tcBorders>
          <w:shd w:val="clear" w:color="auto" w:fill="auto"/>
        </w:tcPr>
        <w:p w:rsidR="003C0F16" w:rsidRPr="000D4CDA" w:rsidRDefault="003C0F16">
          <w:pPr>
            <w:pStyle w:val="HeaderBoldEven"/>
          </w:pPr>
        </w:p>
      </w:tc>
    </w:tr>
  </w:tbl>
  <w:p w:rsidR="003C0F16" w:rsidRDefault="003C0F1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57" w:type="dxa"/>
      <w:tblLayout w:type="fixed"/>
      <w:tblLook w:val="01E0" w:firstRow="1" w:lastRow="1" w:firstColumn="1" w:lastColumn="1" w:noHBand="0" w:noVBand="0"/>
    </w:tblPr>
    <w:tblGrid>
      <w:gridCol w:w="8357"/>
    </w:tblGrid>
    <w:tr w:rsidR="003C0F16" w:rsidRPr="00375ADF">
      <w:tc>
        <w:tcPr>
          <w:tcW w:w="8357" w:type="dxa"/>
        </w:tcPr>
        <w:p w:rsidR="003C0F16" w:rsidRPr="00375ADF" w:rsidRDefault="003C0F16">
          <w:pPr>
            <w:pStyle w:val="HeaderLiteOdd"/>
          </w:pPr>
          <w:r>
            <w:t>Note</w:t>
          </w:r>
        </w:p>
      </w:tc>
    </w:tr>
    <w:tr w:rsidR="003C0F16">
      <w:tc>
        <w:tcPr>
          <w:tcW w:w="8357" w:type="dxa"/>
        </w:tcPr>
        <w:p w:rsidR="003C0F16" w:rsidRDefault="003C0F16">
          <w:pPr>
            <w:pStyle w:val="HeaderLiteOdd"/>
          </w:pPr>
        </w:p>
      </w:tc>
    </w:tr>
    <w:tr w:rsidR="003C0F16">
      <w:tc>
        <w:tcPr>
          <w:tcW w:w="8357" w:type="dxa"/>
          <w:tcBorders>
            <w:bottom w:val="single" w:sz="4" w:space="0" w:color="auto"/>
          </w:tcBorders>
          <w:shd w:val="clear" w:color="auto" w:fill="auto"/>
        </w:tcPr>
        <w:p w:rsidR="003C0F16" w:rsidRPr="000D4CDA" w:rsidRDefault="003C0F16">
          <w:pPr>
            <w:pStyle w:val="HeaderBoldOdd"/>
          </w:pPr>
        </w:p>
      </w:tc>
    </w:tr>
  </w:tbl>
  <w:p w:rsidR="003C0F16" w:rsidRDefault="003C0F16"/>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16" w:rsidRDefault="003C0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539567A"/>
    <w:multiLevelType w:val="hybridMultilevel"/>
    <w:tmpl w:val="27263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48D3116"/>
    <w:multiLevelType w:val="hybridMultilevel"/>
    <w:tmpl w:val="9EB62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C0E4048"/>
    <w:multiLevelType w:val="hybridMultilevel"/>
    <w:tmpl w:val="93105A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5FDA81E2-4D13-4384-8D74-66044128C3BA}"/>
    <w:docVar w:name="dgnword-eventsink" w:val="35057808"/>
  </w:docVars>
  <w:rsids>
    <w:rsidRoot w:val="00370DD7"/>
    <w:rsid w:val="000038A0"/>
    <w:rsid w:val="00012F8A"/>
    <w:rsid w:val="0001662A"/>
    <w:rsid w:val="00020108"/>
    <w:rsid w:val="00032F2C"/>
    <w:rsid w:val="00040090"/>
    <w:rsid w:val="000403D5"/>
    <w:rsid w:val="000427E4"/>
    <w:rsid w:val="00045BA4"/>
    <w:rsid w:val="00045F1B"/>
    <w:rsid w:val="000521B7"/>
    <w:rsid w:val="0005339D"/>
    <w:rsid w:val="00057B03"/>
    <w:rsid w:val="00060076"/>
    <w:rsid w:val="000646EC"/>
    <w:rsid w:val="00065118"/>
    <w:rsid w:val="00065296"/>
    <w:rsid w:val="000715D1"/>
    <w:rsid w:val="00082916"/>
    <w:rsid w:val="00083189"/>
    <w:rsid w:val="0008560A"/>
    <w:rsid w:val="00091146"/>
    <w:rsid w:val="00095849"/>
    <w:rsid w:val="000A0788"/>
    <w:rsid w:val="000A0CCA"/>
    <w:rsid w:val="000A1742"/>
    <w:rsid w:val="000A620C"/>
    <w:rsid w:val="000A7869"/>
    <w:rsid w:val="000B4121"/>
    <w:rsid w:val="000B51B3"/>
    <w:rsid w:val="000D1916"/>
    <w:rsid w:val="000E16EC"/>
    <w:rsid w:val="000E27E3"/>
    <w:rsid w:val="000E48BD"/>
    <w:rsid w:val="000E7494"/>
    <w:rsid w:val="00105BB8"/>
    <w:rsid w:val="00111D90"/>
    <w:rsid w:val="00116989"/>
    <w:rsid w:val="00121F3F"/>
    <w:rsid w:val="00125657"/>
    <w:rsid w:val="001275C1"/>
    <w:rsid w:val="00127EA8"/>
    <w:rsid w:val="001312D8"/>
    <w:rsid w:val="001328CE"/>
    <w:rsid w:val="00134DDC"/>
    <w:rsid w:val="00140090"/>
    <w:rsid w:val="001409F1"/>
    <w:rsid w:val="0014186A"/>
    <w:rsid w:val="00141CBA"/>
    <w:rsid w:val="00143636"/>
    <w:rsid w:val="00144DE3"/>
    <w:rsid w:val="00153195"/>
    <w:rsid w:val="00162609"/>
    <w:rsid w:val="00164935"/>
    <w:rsid w:val="0016533D"/>
    <w:rsid w:val="00165D61"/>
    <w:rsid w:val="00175CF6"/>
    <w:rsid w:val="0017685B"/>
    <w:rsid w:val="00182977"/>
    <w:rsid w:val="00185F83"/>
    <w:rsid w:val="00186360"/>
    <w:rsid w:val="00187D63"/>
    <w:rsid w:val="00191FA5"/>
    <w:rsid w:val="00192C10"/>
    <w:rsid w:val="00193F32"/>
    <w:rsid w:val="001A4DD7"/>
    <w:rsid w:val="001A6C59"/>
    <w:rsid w:val="001B6990"/>
    <w:rsid w:val="001C22F5"/>
    <w:rsid w:val="001C25FE"/>
    <w:rsid w:val="001D6D71"/>
    <w:rsid w:val="001E092D"/>
    <w:rsid w:val="001E1749"/>
    <w:rsid w:val="001F108C"/>
    <w:rsid w:val="001F41C5"/>
    <w:rsid w:val="001F73A4"/>
    <w:rsid w:val="002015B2"/>
    <w:rsid w:val="00203232"/>
    <w:rsid w:val="00210652"/>
    <w:rsid w:val="00214C3B"/>
    <w:rsid w:val="00222FD0"/>
    <w:rsid w:val="002252C7"/>
    <w:rsid w:val="0022734F"/>
    <w:rsid w:val="00233C57"/>
    <w:rsid w:val="0023489C"/>
    <w:rsid w:val="0023603C"/>
    <w:rsid w:val="0024222C"/>
    <w:rsid w:val="00243601"/>
    <w:rsid w:val="00244C01"/>
    <w:rsid w:val="00246042"/>
    <w:rsid w:val="00252F17"/>
    <w:rsid w:val="00253DDD"/>
    <w:rsid w:val="00260912"/>
    <w:rsid w:val="00274FEF"/>
    <w:rsid w:val="00275245"/>
    <w:rsid w:val="00281E63"/>
    <w:rsid w:val="0028609E"/>
    <w:rsid w:val="00286CEA"/>
    <w:rsid w:val="00293BC3"/>
    <w:rsid w:val="002A0984"/>
    <w:rsid w:val="002A19B0"/>
    <w:rsid w:val="002A37DA"/>
    <w:rsid w:val="002B1EBA"/>
    <w:rsid w:val="002B265A"/>
    <w:rsid w:val="002B3196"/>
    <w:rsid w:val="002B32C5"/>
    <w:rsid w:val="002B519A"/>
    <w:rsid w:val="002B7DCF"/>
    <w:rsid w:val="002D4558"/>
    <w:rsid w:val="002D71AC"/>
    <w:rsid w:val="002D7932"/>
    <w:rsid w:val="002E5749"/>
    <w:rsid w:val="002F137A"/>
    <w:rsid w:val="002F78D5"/>
    <w:rsid w:val="00306194"/>
    <w:rsid w:val="003231FF"/>
    <w:rsid w:val="0033573E"/>
    <w:rsid w:val="00336724"/>
    <w:rsid w:val="00343B24"/>
    <w:rsid w:val="003469E3"/>
    <w:rsid w:val="0035001E"/>
    <w:rsid w:val="00353F3B"/>
    <w:rsid w:val="00355188"/>
    <w:rsid w:val="00357657"/>
    <w:rsid w:val="00363908"/>
    <w:rsid w:val="00367E3F"/>
    <w:rsid w:val="00370DD7"/>
    <w:rsid w:val="0037255F"/>
    <w:rsid w:val="0038199B"/>
    <w:rsid w:val="00387F34"/>
    <w:rsid w:val="00392557"/>
    <w:rsid w:val="0039396B"/>
    <w:rsid w:val="003A10FD"/>
    <w:rsid w:val="003A5AF1"/>
    <w:rsid w:val="003A77F7"/>
    <w:rsid w:val="003B0D29"/>
    <w:rsid w:val="003B7E2B"/>
    <w:rsid w:val="003C0F16"/>
    <w:rsid w:val="003C1D25"/>
    <w:rsid w:val="003D1079"/>
    <w:rsid w:val="003D1FD3"/>
    <w:rsid w:val="003D5FC8"/>
    <w:rsid w:val="003D659C"/>
    <w:rsid w:val="003D6F03"/>
    <w:rsid w:val="003E6D06"/>
    <w:rsid w:val="003F6833"/>
    <w:rsid w:val="004005D4"/>
    <w:rsid w:val="00403F78"/>
    <w:rsid w:val="00413A68"/>
    <w:rsid w:val="00421964"/>
    <w:rsid w:val="00422522"/>
    <w:rsid w:val="004255DD"/>
    <w:rsid w:val="00433B06"/>
    <w:rsid w:val="004361A5"/>
    <w:rsid w:val="00440B24"/>
    <w:rsid w:val="00442AA3"/>
    <w:rsid w:val="00443890"/>
    <w:rsid w:val="0044430D"/>
    <w:rsid w:val="00444F77"/>
    <w:rsid w:val="004459DE"/>
    <w:rsid w:val="00450DE1"/>
    <w:rsid w:val="00451D87"/>
    <w:rsid w:val="004533FC"/>
    <w:rsid w:val="00464092"/>
    <w:rsid w:val="004640EA"/>
    <w:rsid w:val="00466DBA"/>
    <w:rsid w:val="00475DB4"/>
    <w:rsid w:val="004879CB"/>
    <w:rsid w:val="0049172E"/>
    <w:rsid w:val="004A20E2"/>
    <w:rsid w:val="004A7713"/>
    <w:rsid w:val="004A7AA7"/>
    <w:rsid w:val="004B1AC1"/>
    <w:rsid w:val="004B6C4F"/>
    <w:rsid w:val="004D32C2"/>
    <w:rsid w:val="004D5EAB"/>
    <w:rsid w:val="004D6045"/>
    <w:rsid w:val="004E0619"/>
    <w:rsid w:val="004E1C75"/>
    <w:rsid w:val="004E249A"/>
    <w:rsid w:val="004E2FEB"/>
    <w:rsid w:val="004E7590"/>
    <w:rsid w:val="004F5D6D"/>
    <w:rsid w:val="00501E0C"/>
    <w:rsid w:val="005056C8"/>
    <w:rsid w:val="0051137B"/>
    <w:rsid w:val="00511776"/>
    <w:rsid w:val="00511924"/>
    <w:rsid w:val="00512974"/>
    <w:rsid w:val="0051511D"/>
    <w:rsid w:val="0052220C"/>
    <w:rsid w:val="005234C7"/>
    <w:rsid w:val="005238E0"/>
    <w:rsid w:val="005277E8"/>
    <w:rsid w:val="0054351E"/>
    <w:rsid w:val="005516CA"/>
    <w:rsid w:val="005672DE"/>
    <w:rsid w:val="005749F6"/>
    <w:rsid w:val="00576569"/>
    <w:rsid w:val="00580301"/>
    <w:rsid w:val="005859FB"/>
    <w:rsid w:val="005924C4"/>
    <w:rsid w:val="005943B6"/>
    <w:rsid w:val="005A4031"/>
    <w:rsid w:val="005B2968"/>
    <w:rsid w:val="005B5BAF"/>
    <w:rsid w:val="005B7B02"/>
    <w:rsid w:val="005C1E0F"/>
    <w:rsid w:val="005C4A85"/>
    <w:rsid w:val="005D0D39"/>
    <w:rsid w:val="005D2F97"/>
    <w:rsid w:val="005D692B"/>
    <w:rsid w:val="005E43E5"/>
    <w:rsid w:val="005E563D"/>
    <w:rsid w:val="005F0DDB"/>
    <w:rsid w:val="005F47D8"/>
    <w:rsid w:val="005F52A1"/>
    <w:rsid w:val="00602748"/>
    <w:rsid w:val="006047C5"/>
    <w:rsid w:val="00621915"/>
    <w:rsid w:val="00624074"/>
    <w:rsid w:val="0062769F"/>
    <w:rsid w:val="00641664"/>
    <w:rsid w:val="00644EDC"/>
    <w:rsid w:val="0065001E"/>
    <w:rsid w:val="006533B7"/>
    <w:rsid w:val="006567E4"/>
    <w:rsid w:val="00674B00"/>
    <w:rsid w:val="006C2616"/>
    <w:rsid w:val="006C5742"/>
    <w:rsid w:val="006D018E"/>
    <w:rsid w:val="006D3078"/>
    <w:rsid w:val="006D4034"/>
    <w:rsid w:val="006E2318"/>
    <w:rsid w:val="006E2530"/>
    <w:rsid w:val="006E548F"/>
    <w:rsid w:val="006E7E7A"/>
    <w:rsid w:val="006F0BD8"/>
    <w:rsid w:val="006F73F0"/>
    <w:rsid w:val="00702998"/>
    <w:rsid w:val="0071055A"/>
    <w:rsid w:val="0071414A"/>
    <w:rsid w:val="0071514F"/>
    <w:rsid w:val="00716F1E"/>
    <w:rsid w:val="00720FF9"/>
    <w:rsid w:val="00727685"/>
    <w:rsid w:val="00730AF8"/>
    <w:rsid w:val="00735D7F"/>
    <w:rsid w:val="007375F7"/>
    <w:rsid w:val="00740322"/>
    <w:rsid w:val="00740916"/>
    <w:rsid w:val="007431FF"/>
    <w:rsid w:val="00756F9E"/>
    <w:rsid w:val="00772ADE"/>
    <w:rsid w:val="0078300B"/>
    <w:rsid w:val="007833A9"/>
    <w:rsid w:val="007851E9"/>
    <w:rsid w:val="007910D2"/>
    <w:rsid w:val="00794754"/>
    <w:rsid w:val="007A3064"/>
    <w:rsid w:val="007C7959"/>
    <w:rsid w:val="007D1A1E"/>
    <w:rsid w:val="007E231D"/>
    <w:rsid w:val="007E2664"/>
    <w:rsid w:val="007E3AA5"/>
    <w:rsid w:val="007F75DF"/>
    <w:rsid w:val="008002E8"/>
    <w:rsid w:val="008006D5"/>
    <w:rsid w:val="008011DE"/>
    <w:rsid w:val="008149B7"/>
    <w:rsid w:val="00825250"/>
    <w:rsid w:val="008322B6"/>
    <w:rsid w:val="008349F1"/>
    <w:rsid w:val="00836024"/>
    <w:rsid w:val="00836392"/>
    <w:rsid w:val="008416EA"/>
    <w:rsid w:val="00844132"/>
    <w:rsid w:val="00847850"/>
    <w:rsid w:val="008546A9"/>
    <w:rsid w:val="00854857"/>
    <w:rsid w:val="00856EB5"/>
    <w:rsid w:val="00863597"/>
    <w:rsid w:val="0086648B"/>
    <w:rsid w:val="008673F2"/>
    <w:rsid w:val="00867E7D"/>
    <w:rsid w:val="008731F9"/>
    <w:rsid w:val="00873699"/>
    <w:rsid w:val="00873E3C"/>
    <w:rsid w:val="008750E2"/>
    <w:rsid w:val="00876486"/>
    <w:rsid w:val="00886003"/>
    <w:rsid w:val="008866E8"/>
    <w:rsid w:val="0088671C"/>
    <w:rsid w:val="00886C7C"/>
    <w:rsid w:val="008933E0"/>
    <w:rsid w:val="008A4808"/>
    <w:rsid w:val="008A6DFE"/>
    <w:rsid w:val="008B0EFE"/>
    <w:rsid w:val="008B183C"/>
    <w:rsid w:val="008B1E93"/>
    <w:rsid w:val="008B5981"/>
    <w:rsid w:val="008B6C52"/>
    <w:rsid w:val="008C3068"/>
    <w:rsid w:val="008C43C2"/>
    <w:rsid w:val="008C48D9"/>
    <w:rsid w:val="008D5B3D"/>
    <w:rsid w:val="008E2235"/>
    <w:rsid w:val="008E3423"/>
    <w:rsid w:val="008E63C4"/>
    <w:rsid w:val="008F16BC"/>
    <w:rsid w:val="008F1DAB"/>
    <w:rsid w:val="008F3C01"/>
    <w:rsid w:val="009007F1"/>
    <w:rsid w:val="009078CC"/>
    <w:rsid w:val="00911F7B"/>
    <w:rsid w:val="00913281"/>
    <w:rsid w:val="00913EA5"/>
    <w:rsid w:val="009146C1"/>
    <w:rsid w:val="00915D96"/>
    <w:rsid w:val="00927849"/>
    <w:rsid w:val="00930919"/>
    <w:rsid w:val="00943677"/>
    <w:rsid w:val="00943CEA"/>
    <w:rsid w:val="00945A5E"/>
    <w:rsid w:val="009612A7"/>
    <w:rsid w:val="00963ADB"/>
    <w:rsid w:val="00967444"/>
    <w:rsid w:val="00976374"/>
    <w:rsid w:val="00983A1F"/>
    <w:rsid w:val="00987485"/>
    <w:rsid w:val="0099167B"/>
    <w:rsid w:val="00994D20"/>
    <w:rsid w:val="00996AE9"/>
    <w:rsid w:val="009A0CC8"/>
    <w:rsid w:val="009A207B"/>
    <w:rsid w:val="009A5A0D"/>
    <w:rsid w:val="009A679E"/>
    <w:rsid w:val="009A6D1B"/>
    <w:rsid w:val="009B303B"/>
    <w:rsid w:val="009B3BDA"/>
    <w:rsid w:val="009B76D8"/>
    <w:rsid w:val="009B785F"/>
    <w:rsid w:val="009C0398"/>
    <w:rsid w:val="009D6B2A"/>
    <w:rsid w:val="009D7BDF"/>
    <w:rsid w:val="009E1C06"/>
    <w:rsid w:val="009E28DB"/>
    <w:rsid w:val="009E2D2F"/>
    <w:rsid w:val="009F3F7B"/>
    <w:rsid w:val="00A00C88"/>
    <w:rsid w:val="00A046F7"/>
    <w:rsid w:val="00A103A5"/>
    <w:rsid w:val="00A13F63"/>
    <w:rsid w:val="00A21D2D"/>
    <w:rsid w:val="00A223AA"/>
    <w:rsid w:val="00A24F06"/>
    <w:rsid w:val="00A266F5"/>
    <w:rsid w:val="00A30ABA"/>
    <w:rsid w:val="00A314B9"/>
    <w:rsid w:val="00A41885"/>
    <w:rsid w:val="00A41B45"/>
    <w:rsid w:val="00A52515"/>
    <w:rsid w:val="00A5272D"/>
    <w:rsid w:val="00A54B37"/>
    <w:rsid w:val="00A609DD"/>
    <w:rsid w:val="00A60B57"/>
    <w:rsid w:val="00A61815"/>
    <w:rsid w:val="00A644DE"/>
    <w:rsid w:val="00A66DA9"/>
    <w:rsid w:val="00A6740F"/>
    <w:rsid w:val="00A833F2"/>
    <w:rsid w:val="00A851E0"/>
    <w:rsid w:val="00A95A88"/>
    <w:rsid w:val="00AA1B63"/>
    <w:rsid w:val="00AA3188"/>
    <w:rsid w:val="00AA420D"/>
    <w:rsid w:val="00AB2C8C"/>
    <w:rsid w:val="00AB444A"/>
    <w:rsid w:val="00AC405E"/>
    <w:rsid w:val="00AD2A6E"/>
    <w:rsid w:val="00AE732F"/>
    <w:rsid w:val="00AF074C"/>
    <w:rsid w:val="00AF716F"/>
    <w:rsid w:val="00B03AF0"/>
    <w:rsid w:val="00B04B2D"/>
    <w:rsid w:val="00B05373"/>
    <w:rsid w:val="00B067E6"/>
    <w:rsid w:val="00B11A88"/>
    <w:rsid w:val="00B12260"/>
    <w:rsid w:val="00B13F00"/>
    <w:rsid w:val="00B156E1"/>
    <w:rsid w:val="00B25433"/>
    <w:rsid w:val="00B2626C"/>
    <w:rsid w:val="00B268AE"/>
    <w:rsid w:val="00B3728B"/>
    <w:rsid w:val="00B408B6"/>
    <w:rsid w:val="00B531ED"/>
    <w:rsid w:val="00B53574"/>
    <w:rsid w:val="00B60027"/>
    <w:rsid w:val="00B63AE9"/>
    <w:rsid w:val="00B670FF"/>
    <w:rsid w:val="00B71B16"/>
    <w:rsid w:val="00B76BE0"/>
    <w:rsid w:val="00B80913"/>
    <w:rsid w:val="00B91A8D"/>
    <w:rsid w:val="00BA34AD"/>
    <w:rsid w:val="00BA4B2A"/>
    <w:rsid w:val="00BB69FF"/>
    <w:rsid w:val="00BD545A"/>
    <w:rsid w:val="00BF1C2D"/>
    <w:rsid w:val="00BF2735"/>
    <w:rsid w:val="00BF738E"/>
    <w:rsid w:val="00C0402F"/>
    <w:rsid w:val="00C14CE5"/>
    <w:rsid w:val="00C24D41"/>
    <w:rsid w:val="00C329A2"/>
    <w:rsid w:val="00C35EC8"/>
    <w:rsid w:val="00C4065A"/>
    <w:rsid w:val="00C412B4"/>
    <w:rsid w:val="00C42FF3"/>
    <w:rsid w:val="00C447FD"/>
    <w:rsid w:val="00C44BA2"/>
    <w:rsid w:val="00C464FB"/>
    <w:rsid w:val="00C479EC"/>
    <w:rsid w:val="00C5024F"/>
    <w:rsid w:val="00C51630"/>
    <w:rsid w:val="00C52F4B"/>
    <w:rsid w:val="00C53754"/>
    <w:rsid w:val="00C6035E"/>
    <w:rsid w:val="00C639B5"/>
    <w:rsid w:val="00C651A6"/>
    <w:rsid w:val="00C72C99"/>
    <w:rsid w:val="00C822F8"/>
    <w:rsid w:val="00C8251B"/>
    <w:rsid w:val="00C83482"/>
    <w:rsid w:val="00C83A6F"/>
    <w:rsid w:val="00C92D6F"/>
    <w:rsid w:val="00C93DEA"/>
    <w:rsid w:val="00C97351"/>
    <w:rsid w:val="00C97D8E"/>
    <w:rsid w:val="00CA2A23"/>
    <w:rsid w:val="00CA752C"/>
    <w:rsid w:val="00CB009F"/>
    <w:rsid w:val="00CB221F"/>
    <w:rsid w:val="00CC3524"/>
    <w:rsid w:val="00CD3C04"/>
    <w:rsid w:val="00CD3C3C"/>
    <w:rsid w:val="00CD5A35"/>
    <w:rsid w:val="00CE662A"/>
    <w:rsid w:val="00CF73A6"/>
    <w:rsid w:val="00D05575"/>
    <w:rsid w:val="00D118BD"/>
    <w:rsid w:val="00D13C76"/>
    <w:rsid w:val="00D15738"/>
    <w:rsid w:val="00D17FF9"/>
    <w:rsid w:val="00D2157E"/>
    <w:rsid w:val="00D21740"/>
    <w:rsid w:val="00D22AE7"/>
    <w:rsid w:val="00D2550B"/>
    <w:rsid w:val="00D271FF"/>
    <w:rsid w:val="00D3367E"/>
    <w:rsid w:val="00D33956"/>
    <w:rsid w:val="00D34F1B"/>
    <w:rsid w:val="00D41229"/>
    <w:rsid w:val="00D4367A"/>
    <w:rsid w:val="00D57D13"/>
    <w:rsid w:val="00D6243F"/>
    <w:rsid w:val="00D6403A"/>
    <w:rsid w:val="00D774C6"/>
    <w:rsid w:val="00D80163"/>
    <w:rsid w:val="00D84CCB"/>
    <w:rsid w:val="00D84E18"/>
    <w:rsid w:val="00D95125"/>
    <w:rsid w:val="00DB2470"/>
    <w:rsid w:val="00DC7FB4"/>
    <w:rsid w:val="00DE5043"/>
    <w:rsid w:val="00DF44BE"/>
    <w:rsid w:val="00DF520A"/>
    <w:rsid w:val="00DF64FD"/>
    <w:rsid w:val="00DF7034"/>
    <w:rsid w:val="00E05AF6"/>
    <w:rsid w:val="00E10958"/>
    <w:rsid w:val="00E127AC"/>
    <w:rsid w:val="00E14318"/>
    <w:rsid w:val="00E24EF9"/>
    <w:rsid w:val="00E24FB9"/>
    <w:rsid w:val="00E26CD1"/>
    <w:rsid w:val="00E26F82"/>
    <w:rsid w:val="00E35189"/>
    <w:rsid w:val="00E4112B"/>
    <w:rsid w:val="00E44149"/>
    <w:rsid w:val="00E44D80"/>
    <w:rsid w:val="00E44ECA"/>
    <w:rsid w:val="00E459C3"/>
    <w:rsid w:val="00E53A61"/>
    <w:rsid w:val="00E57384"/>
    <w:rsid w:val="00E5755C"/>
    <w:rsid w:val="00E6578A"/>
    <w:rsid w:val="00E678BB"/>
    <w:rsid w:val="00E7293B"/>
    <w:rsid w:val="00E74109"/>
    <w:rsid w:val="00E750F1"/>
    <w:rsid w:val="00E814E3"/>
    <w:rsid w:val="00E83542"/>
    <w:rsid w:val="00E8435C"/>
    <w:rsid w:val="00EA0DE3"/>
    <w:rsid w:val="00EA0E4D"/>
    <w:rsid w:val="00EB1E0E"/>
    <w:rsid w:val="00EB77D8"/>
    <w:rsid w:val="00EB7CEA"/>
    <w:rsid w:val="00EC100A"/>
    <w:rsid w:val="00ED1C66"/>
    <w:rsid w:val="00ED5F59"/>
    <w:rsid w:val="00EE4BF8"/>
    <w:rsid w:val="00EE739D"/>
    <w:rsid w:val="00EF15F7"/>
    <w:rsid w:val="00EF1EE8"/>
    <w:rsid w:val="00EF63BE"/>
    <w:rsid w:val="00EF69B2"/>
    <w:rsid w:val="00F02711"/>
    <w:rsid w:val="00F02993"/>
    <w:rsid w:val="00F10F95"/>
    <w:rsid w:val="00F11A57"/>
    <w:rsid w:val="00F172D2"/>
    <w:rsid w:val="00F242C4"/>
    <w:rsid w:val="00F336D9"/>
    <w:rsid w:val="00F37E63"/>
    <w:rsid w:val="00F41F12"/>
    <w:rsid w:val="00F511C0"/>
    <w:rsid w:val="00F55498"/>
    <w:rsid w:val="00F719EC"/>
    <w:rsid w:val="00F74571"/>
    <w:rsid w:val="00F7591B"/>
    <w:rsid w:val="00F76ECD"/>
    <w:rsid w:val="00F86BD5"/>
    <w:rsid w:val="00F92D2D"/>
    <w:rsid w:val="00F9606B"/>
    <w:rsid w:val="00F96711"/>
    <w:rsid w:val="00FB1906"/>
    <w:rsid w:val="00FD119D"/>
    <w:rsid w:val="00FD6632"/>
    <w:rsid w:val="00FE262A"/>
    <w:rsid w:val="00FE36CF"/>
    <w:rsid w:val="00FE3A0D"/>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3B0D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uiPriority w:val="34"/>
    <w:qFormat/>
    <w:rsid w:val="001F73A4"/>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link w:val="ListParagraph"/>
    <w:uiPriority w:val="34"/>
    <w:locked/>
    <w:rsid w:val="0016533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Legal Services Amendment Direection 2008 (No.   )</vt:lpstr>
    </vt:vector>
  </TitlesOfParts>
  <Manager/>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Services Amendment Direection 2008 (No.   )</dc:title>
  <dc:subject/>
  <dc:creator/>
  <cp:keywords/>
  <dc:description/>
  <cp:lastModifiedBy/>
  <cp:revision>1</cp:revision>
  <cp:lastPrinted>2008-12-03T05:14:00Z</cp:lastPrinted>
  <dcterms:created xsi:type="dcterms:W3CDTF">2019-09-10T23:03:00Z</dcterms:created>
  <dcterms:modified xsi:type="dcterms:W3CDTF">2019-09-10T23:03:00Z</dcterms:modified>
</cp:coreProperties>
</file>