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317F" w:rsidRDefault="005E317F" w:rsidP="005E317F">
      <w:pPr>
        <w:rPr>
          <w:sz w:val="28"/>
        </w:rPr>
      </w:pPr>
      <w:r>
        <w:rPr>
          <w:noProof/>
          <w:lang w:eastAsia="en-AU"/>
        </w:rPr>
        <w:drawing>
          <wp:inline distT="0" distB="0" distL="0" distR="0" wp14:anchorId="71CB9F6F" wp14:editId="2BB06647">
            <wp:extent cx="1503328" cy="1105200"/>
            <wp:effectExtent l="0" t="0" r="1905" b="0"/>
            <wp:docPr id="1" name="Picture 1"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rsidR="005E317F" w:rsidRDefault="005E317F" w:rsidP="005E317F">
      <w:pPr>
        <w:rPr>
          <w:sz w:val="19"/>
        </w:rPr>
      </w:pPr>
    </w:p>
    <w:p w:rsidR="005E317F" w:rsidRPr="00D73E13" w:rsidRDefault="00D73E13" w:rsidP="005E317F">
      <w:pPr>
        <w:pStyle w:val="ShortT"/>
      </w:pPr>
      <w:r w:rsidRPr="00D73E13">
        <w:t>National Capital Plan</w:t>
      </w:r>
      <w:r w:rsidR="005E317F" w:rsidRPr="00D73E13">
        <w:t xml:space="preserve"> </w:t>
      </w:r>
      <w:r w:rsidRPr="00D73E13">
        <w:t>Amendment (No. 95 – North Curtin Diplomatic Estate and Urban Area)</w:t>
      </w:r>
      <w:r w:rsidR="002022E5">
        <w:t xml:space="preserve"> </w:t>
      </w:r>
      <w:r w:rsidRPr="00D73E13">
        <w:t>Amending</w:t>
      </w:r>
      <w:r w:rsidR="005E317F" w:rsidRPr="00D73E13">
        <w:t xml:space="preserve"> Instrument </w:t>
      </w:r>
      <w:r w:rsidRPr="00D73E13">
        <w:t>2020</w:t>
      </w:r>
    </w:p>
    <w:p w:rsidR="005E317F" w:rsidRPr="00D73E13" w:rsidRDefault="005E317F" w:rsidP="005E317F">
      <w:pPr>
        <w:pStyle w:val="SignCoverPageStart"/>
        <w:spacing w:before="240"/>
        <w:ind w:right="91"/>
        <w:rPr>
          <w:szCs w:val="22"/>
        </w:rPr>
      </w:pPr>
      <w:r w:rsidRPr="00D73E13">
        <w:rPr>
          <w:szCs w:val="22"/>
        </w:rPr>
        <w:t xml:space="preserve">I, </w:t>
      </w:r>
      <w:r w:rsidR="00D73E13" w:rsidRPr="00D73E13">
        <w:rPr>
          <w:szCs w:val="22"/>
        </w:rPr>
        <w:t>Nola Marino</w:t>
      </w:r>
      <w:r w:rsidRPr="00D73E13">
        <w:rPr>
          <w:szCs w:val="22"/>
        </w:rPr>
        <w:t xml:space="preserve">, </w:t>
      </w:r>
      <w:r w:rsidR="00D73E13" w:rsidRPr="00D73E13">
        <w:rPr>
          <w:szCs w:val="22"/>
        </w:rPr>
        <w:t>Assistant Minister for Regional Development and Territories</w:t>
      </w:r>
      <w:r w:rsidRPr="00D73E13">
        <w:rPr>
          <w:szCs w:val="22"/>
        </w:rPr>
        <w:t>, make the following instrument.</w:t>
      </w:r>
    </w:p>
    <w:p w:rsidR="005E317F" w:rsidRPr="00D73E13" w:rsidRDefault="005E317F" w:rsidP="005E317F">
      <w:pPr>
        <w:keepNext/>
        <w:spacing w:before="300" w:line="240" w:lineRule="atLeast"/>
        <w:ind w:right="397"/>
        <w:jc w:val="both"/>
        <w:rPr>
          <w:szCs w:val="22"/>
        </w:rPr>
      </w:pPr>
      <w:r w:rsidRPr="00D73E13">
        <w:rPr>
          <w:szCs w:val="22"/>
        </w:rPr>
        <w:t>Dated</w:t>
      </w:r>
      <w:r w:rsidR="00D1333D">
        <w:rPr>
          <w:szCs w:val="22"/>
        </w:rPr>
        <w:t xml:space="preserve"> 19 October 2020</w:t>
      </w:r>
      <w:r w:rsidRPr="00D73E13">
        <w:rPr>
          <w:szCs w:val="22"/>
        </w:rPr>
        <w:tab/>
      </w:r>
      <w:r w:rsidRPr="00D73E13">
        <w:rPr>
          <w:szCs w:val="22"/>
        </w:rPr>
        <w:tab/>
      </w:r>
      <w:r w:rsidRPr="00D73E13">
        <w:rPr>
          <w:szCs w:val="22"/>
        </w:rPr>
        <w:tab/>
      </w:r>
    </w:p>
    <w:p w:rsidR="005E317F" w:rsidRPr="00D73E13" w:rsidRDefault="00D73E13" w:rsidP="005E317F">
      <w:pPr>
        <w:keepNext/>
        <w:tabs>
          <w:tab w:val="left" w:pos="3402"/>
        </w:tabs>
        <w:spacing w:before="1440" w:line="300" w:lineRule="atLeast"/>
        <w:ind w:right="397"/>
        <w:rPr>
          <w:b/>
          <w:szCs w:val="22"/>
        </w:rPr>
      </w:pPr>
      <w:r>
        <w:rPr>
          <w:szCs w:val="22"/>
        </w:rPr>
        <w:t>Nola Marino</w:t>
      </w:r>
      <w:r w:rsidR="005E317F" w:rsidRPr="00D73E13">
        <w:rPr>
          <w:szCs w:val="22"/>
        </w:rPr>
        <w:t xml:space="preserve"> </w:t>
      </w:r>
    </w:p>
    <w:p w:rsidR="005E317F" w:rsidRPr="000D3FB9" w:rsidRDefault="00D73E13" w:rsidP="005E317F">
      <w:pPr>
        <w:pStyle w:val="SignCoverPageEnd"/>
        <w:ind w:right="91"/>
        <w:rPr>
          <w:sz w:val="22"/>
        </w:rPr>
      </w:pPr>
      <w:r w:rsidRPr="00D73E13">
        <w:rPr>
          <w:sz w:val="22"/>
        </w:rPr>
        <w:t>Assistant Minister for Regional Development and Territories</w:t>
      </w:r>
    </w:p>
    <w:p w:rsidR="00B20990" w:rsidRDefault="00B20990" w:rsidP="00B20990"/>
    <w:p w:rsidR="00B20990" w:rsidRDefault="00B20990" w:rsidP="00B20990">
      <w:pPr>
        <w:sectPr w:rsidR="00B20990" w:rsidSect="00B20990">
          <w:headerReference w:type="even" r:id="rId8"/>
          <w:headerReference w:type="default" r:id="rId9"/>
          <w:footerReference w:type="even" r:id="rId10"/>
          <w:footerReference w:type="default" r:id="rId11"/>
          <w:headerReference w:type="first" r:id="rId12"/>
          <w:footerReference w:type="first" r:id="rId13"/>
          <w:type w:val="continuous"/>
          <w:pgSz w:w="11907" w:h="16839"/>
          <w:pgMar w:top="1440" w:right="1797" w:bottom="1440" w:left="1797" w:header="720" w:footer="709" w:gutter="0"/>
          <w:cols w:space="708"/>
          <w:titlePg/>
          <w:docGrid w:linePitch="360"/>
        </w:sectPr>
      </w:pPr>
    </w:p>
    <w:p w:rsidR="00B20990" w:rsidRDefault="00B20990" w:rsidP="00B20990">
      <w:pPr>
        <w:outlineLvl w:val="0"/>
        <w:rPr>
          <w:sz w:val="36"/>
        </w:rPr>
      </w:pPr>
      <w:r w:rsidRPr="007A1328">
        <w:rPr>
          <w:sz w:val="36"/>
        </w:rPr>
        <w:lastRenderedPageBreak/>
        <w:t>Contents</w:t>
      </w:r>
    </w:p>
    <w:bookmarkStart w:id="0" w:name="BKCheck15B_2"/>
    <w:bookmarkEnd w:id="0"/>
    <w:p w:rsidR="00CF6499" w:rsidRDefault="00B20990">
      <w:pPr>
        <w:pStyle w:val="TOC5"/>
        <w:rPr>
          <w:rFonts w:asciiTheme="minorHAnsi" w:eastAsiaTheme="minorEastAsia" w:hAnsiTheme="minorHAnsi" w:cstheme="minorBidi"/>
          <w:noProof/>
          <w:kern w:val="0"/>
          <w:sz w:val="22"/>
          <w:szCs w:val="22"/>
        </w:rPr>
      </w:pPr>
      <w:r w:rsidRPr="005E317F">
        <w:fldChar w:fldCharType="begin"/>
      </w:r>
      <w:r>
        <w:instrText xml:space="preserve"> TOC \o "1-9" </w:instrText>
      </w:r>
      <w:r w:rsidRPr="005E317F">
        <w:fldChar w:fldCharType="separate"/>
      </w:r>
      <w:r w:rsidR="00CF6499">
        <w:rPr>
          <w:noProof/>
        </w:rPr>
        <w:t>1  Name</w:t>
      </w:r>
      <w:r w:rsidR="00CF6499">
        <w:rPr>
          <w:noProof/>
        </w:rPr>
        <w:tab/>
      </w:r>
      <w:r w:rsidR="00CF6499">
        <w:rPr>
          <w:noProof/>
        </w:rPr>
        <w:fldChar w:fldCharType="begin"/>
      </w:r>
      <w:r w:rsidR="00CF6499">
        <w:rPr>
          <w:noProof/>
        </w:rPr>
        <w:instrText xml:space="preserve"> PAGEREF _Toc48635385 \h </w:instrText>
      </w:r>
      <w:r w:rsidR="00CF6499">
        <w:rPr>
          <w:noProof/>
        </w:rPr>
      </w:r>
      <w:r w:rsidR="00CF6499">
        <w:rPr>
          <w:noProof/>
        </w:rPr>
        <w:fldChar w:fldCharType="separate"/>
      </w:r>
      <w:r w:rsidR="00CF6499">
        <w:rPr>
          <w:noProof/>
        </w:rPr>
        <w:t>1</w:t>
      </w:r>
      <w:r w:rsidR="00CF6499">
        <w:rPr>
          <w:noProof/>
        </w:rPr>
        <w:fldChar w:fldCharType="end"/>
      </w:r>
    </w:p>
    <w:p w:rsidR="00CF6499" w:rsidRDefault="00CF6499">
      <w:pPr>
        <w:pStyle w:val="TOC5"/>
        <w:rPr>
          <w:rFonts w:asciiTheme="minorHAnsi" w:eastAsiaTheme="minorEastAsia" w:hAnsiTheme="minorHAnsi" w:cstheme="minorBidi"/>
          <w:noProof/>
          <w:kern w:val="0"/>
          <w:sz w:val="22"/>
          <w:szCs w:val="22"/>
        </w:rPr>
      </w:pPr>
      <w:r>
        <w:rPr>
          <w:noProof/>
        </w:rPr>
        <w:t>2  Commencement</w:t>
      </w:r>
      <w:r>
        <w:rPr>
          <w:noProof/>
        </w:rPr>
        <w:tab/>
      </w:r>
      <w:r>
        <w:rPr>
          <w:noProof/>
        </w:rPr>
        <w:fldChar w:fldCharType="begin"/>
      </w:r>
      <w:r>
        <w:rPr>
          <w:noProof/>
        </w:rPr>
        <w:instrText xml:space="preserve"> PAGEREF _Toc48635386 \h </w:instrText>
      </w:r>
      <w:r>
        <w:rPr>
          <w:noProof/>
        </w:rPr>
      </w:r>
      <w:r>
        <w:rPr>
          <w:noProof/>
        </w:rPr>
        <w:fldChar w:fldCharType="separate"/>
      </w:r>
      <w:r>
        <w:rPr>
          <w:noProof/>
        </w:rPr>
        <w:t>1</w:t>
      </w:r>
      <w:r>
        <w:rPr>
          <w:noProof/>
        </w:rPr>
        <w:fldChar w:fldCharType="end"/>
      </w:r>
    </w:p>
    <w:p w:rsidR="00CF6499" w:rsidRDefault="00CF6499">
      <w:pPr>
        <w:pStyle w:val="TOC5"/>
        <w:rPr>
          <w:rFonts w:asciiTheme="minorHAnsi" w:eastAsiaTheme="minorEastAsia" w:hAnsiTheme="minorHAnsi" w:cstheme="minorBidi"/>
          <w:noProof/>
          <w:kern w:val="0"/>
          <w:sz w:val="22"/>
          <w:szCs w:val="22"/>
        </w:rPr>
      </w:pPr>
      <w:r>
        <w:rPr>
          <w:noProof/>
        </w:rPr>
        <w:t>3  Authority</w:t>
      </w:r>
      <w:r>
        <w:rPr>
          <w:noProof/>
        </w:rPr>
        <w:tab/>
      </w:r>
      <w:r>
        <w:rPr>
          <w:noProof/>
        </w:rPr>
        <w:fldChar w:fldCharType="begin"/>
      </w:r>
      <w:r>
        <w:rPr>
          <w:noProof/>
        </w:rPr>
        <w:instrText xml:space="preserve"> PAGEREF _Toc48635387 \h </w:instrText>
      </w:r>
      <w:r>
        <w:rPr>
          <w:noProof/>
        </w:rPr>
      </w:r>
      <w:r>
        <w:rPr>
          <w:noProof/>
        </w:rPr>
        <w:fldChar w:fldCharType="separate"/>
      </w:r>
      <w:r>
        <w:rPr>
          <w:noProof/>
        </w:rPr>
        <w:t>1</w:t>
      </w:r>
      <w:r>
        <w:rPr>
          <w:noProof/>
        </w:rPr>
        <w:fldChar w:fldCharType="end"/>
      </w:r>
    </w:p>
    <w:p w:rsidR="00CF6499" w:rsidRDefault="00CF6499">
      <w:pPr>
        <w:pStyle w:val="TOC5"/>
        <w:rPr>
          <w:rFonts w:asciiTheme="minorHAnsi" w:eastAsiaTheme="minorEastAsia" w:hAnsiTheme="minorHAnsi" w:cstheme="minorBidi"/>
          <w:noProof/>
          <w:kern w:val="0"/>
          <w:sz w:val="22"/>
          <w:szCs w:val="22"/>
        </w:rPr>
      </w:pPr>
      <w:r>
        <w:rPr>
          <w:noProof/>
        </w:rPr>
        <w:t>4  Schedules</w:t>
      </w:r>
      <w:r>
        <w:rPr>
          <w:noProof/>
        </w:rPr>
        <w:tab/>
      </w:r>
      <w:r>
        <w:rPr>
          <w:noProof/>
        </w:rPr>
        <w:fldChar w:fldCharType="begin"/>
      </w:r>
      <w:r>
        <w:rPr>
          <w:noProof/>
        </w:rPr>
        <w:instrText xml:space="preserve"> PAGEREF _Toc48635388 \h </w:instrText>
      </w:r>
      <w:r>
        <w:rPr>
          <w:noProof/>
        </w:rPr>
      </w:r>
      <w:r>
        <w:rPr>
          <w:noProof/>
        </w:rPr>
        <w:fldChar w:fldCharType="separate"/>
      </w:r>
      <w:r>
        <w:rPr>
          <w:noProof/>
        </w:rPr>
        <w:t>1</w:t>
      </w:r>
      <w:r>
        <w:rPr>
          <w:noProof/>
        </w:rPr>
        <w:fldChar w:fldCharType="end"/>
      </w:r>
    </w:p>
    <w:p w:rsidR="00CF6499" w:rsidRDefault="00CF6499">
      <w:pPr>
        <w:pStyle w:val="TOC6"/>
        <w:rPr>
          <w:rFonts w:asciiTheme="minorHAnsi" w:eastAsiaTheme="minorEastAsia" w:hAnsiTheme="minorHAnsi" w:cstheme="minorBidi"/>
          <w:b w:val="0"/>
          <w:noProof/>
          <w:kern w:val="0"/>
          <w:sz w:val="22"/>
          <w:szCs w:val="22"/>
        </w:rPr>
      </w:pPr>
      <w:r>
        <w:rPr>
          <w:noProof/>
        </w:rPr>
        <w:t>Schedule 1—Amendments</w:t>
      </w:r>
      <w:r>
        <w:rPr>
          <w:noProof/>
        </w:rPr>
        <w:tab/>
      </w:r>
      <w:r>
        <w:rPr>
          <w:noProof/>
        </w:rPr>
        <w:fldChar w:fldCharType="begin"/>
      </w:r>
      <w:r>
        <w:rPr>
          <w:noProof/>
        </w:rPr>
        <w:instrText xml:space="preserve"> PAGEREF _Toc48635389 \h </w:instrText>
      </w:r>
      <w:r>
        <w:rPr>
          <w:noProof/>
        </w:rPr>
      </w:r>
      <w:r>
        <w:rPr>
          <w:noProof/>
        </w:rPr>
        <w:fldChar w:fldCharType="separate"/>
      </w:r>
      <w:r>
        <w:rPr>
          <w:noProof/>
        </w:rPr>
        <w:t>2</w:t>
      </w:r>
      <w:r>
        <w:rPr>
          <w:noProof/>
        </w:rPr>
        <w:fldChar w:fldCharType="end"/>
      </w:r>
    </w:p>
    <w:p w:rsidR="00CF6499" w:rsidRDefault="00CF6499">
      <w:pPr>
        <w:pStyle w:val="TOC9"/>
        <w:rPr>
          <w:rFonts w:asciiTheme="minorHAnsi" w:eastAsiaTheme="minorEastAsia" w:hAnsiTheme="minorHAnsi" w:cstheme="minorBidi"/>
          <w:i w:val="0"/>
          <w:noProof/>
          <w:kern w:val="0"/>
          <w:sz w:val="22"/>
          <w:szCs w:val="22"/>
        </w:rPr>
      </w:pPr>
      <w:r>
        <w:rPr>
          <w:noProof/>
        </w:rPr>
        <w:t>National Capital Plan</w:t>
      </w:r>
      <w:r>
        <w:rPr>
          <w:noProof/>
        </w:rPr>
        <w:tab/>
      </w:r>
      <w:r>
        <w:rPr>
          <w:noProof/>
        </w:rPr>
        <w:fldChar w:fldCharType="begin"/>
      </w:r>
      <w:r>
        <w:rPr>
          <w:noProof/>
        </w:rPr>
        <w:instrText xml:space="preserve"> PAGEREF _Toc48635390 \h </w:instrText>
      </w:r>
      <w:r>
        <w:rPr>
          <w:noProof/>
        </w:rPr>
      </w:r>
      <w:r>
        <w:rPr>
          <w:noProof/>
        </w:rPr>
        <w:fldChar w:fldCharType="separate"/>
      </w:r>
      <w:r>
        <w:rPr>
          <w:noProof/>
        </w:rPr>
        <w:t>2</w:t>
      </w:r>
      <w:r>
        <w:rPr>
          <w:noProof/>
        </w:rPr>
        <w:fldChar w:fldCharType="end"/>
      </w:r>
    </w:p>
    <w:p w:rsidR="00B20990" w:rsidRDefault="00B20990" w:rsidP="005E317F">
      <w:r w:rsidRPr="005E317F">
        <w:rPr>
          <w:rFonts w:cs="Times New Roman"/>
          <w:sz w:val="20"/>
        </w:rPr>
        <w:fldChar w:fldCharType="end"/>
      </w:r>
    </w:p>
    <w:p w:rsidR="00B20990" w:rsidRDefault="00B20990" w:rsidP="00B20990"/>
    <w:p w:rsidR="00B20990" w:rsidRDefault="00B20990" w:rsidP="00B20990">
      <w:pPr>
        <w:sectPr w:rsidR="00B20990" w:rsidSect="00C160A1">
          <w:headerReference w:type="even" r:id="rId14"/>
          <w:headerReference w:type="default" r:id="rId15"/>
          <w:footerReference w:type="even" r:id="rId16"/>
          <w:footerReference w:type="default" r:id="rId17"/>
          <w:headerReference w:type="first" r:id="rId18"/>
          <w:pgSz w:w="11907" w:h="16839"/>
          <w:pgMar w:top="2093" w:right="1797" w:bottom="1440" w:left="1797" w:header="720" w:footer="709" w:gutter="0"/>
          <w:pgNumType w:fmt="lowerRoman" w:start="1"/>
          <w:cols w:space="708"/>
          <w:docGrid w:linePitch="360"/>
        </w:sectPr>
      </w:pPr>
    </w:p>
    <w:p w:rsidR="005E317F" w:rsidRPr="009C2562" w:rsidRDefault="005E317F" w:rsidP="005E317F">
      <w:pPr>
        <w:pStyle w:val="ActHead5"/>
      </w:pPr>
      <w:bookmarkStart w:id="1" w:name="_Toc48635385"/>
      <w:r w:rsidRPr="009C2562">
        <w:rPr>
          <w:rStyle w:val="CharSectno"/>
        </w:rPr>
        <w:lastRenderedPageBreak/>
        <w:t>1</w:t>
      </w:r>
      <w:r w:rsidRPr="009C2562">
        <w:t xml:space="preserve">  Name</w:t>
      </w:r>
      <w:bookmarkEnd w:id="1"/>
    </w:p>
    <w:p w:rsidR="005E317F" w:rsidRDefault="005E317F" w:rsidP="005E317F">
      <w:pPr>
        <w:pStyle w:val="subsection"/>
      </w:pPr>
      <w:r w:rsidRPr="009C2562">
        <w:tab/>
      </w:r>
      <w:r w:rsidRPr="009C2562">
        <w:tab/>
        <w:t xml:space="preserve">This </w:t>
      </w:r>
      <w:r>
        <w:t xml:space="preserve">instrument </w:t>
      </w:r>
      <w:r w:rsidRPr="009C2562">
        <w:t xml:space="preserve">is the </w:t>
      </w:r>
      <w:bookmarkStart w:id="2" w:name="BKCheck15B_3"/>
      <w:bookmarkEnd w:id="2"/>
      <w:r w:rsidR="00D73E13" w:rsidRPr="00D73E13">
        <w:rPr>
          <w:i/>
        </w:rPr>
        <w:t xml:space="preserve">National Capital Plan Amendment </w:t>
      </w:r>
      <w:r w:rsidR="00490FB4">
        <w:rPr>
          <w:i/>
        </w:rPr>
        <w:t>(</w:t>
      </w:r>
      <w:r w:rsidR="00D73E13" w:rsidRPr="00D73E13">
        <w:rPr>
          <w:i/>
        </w:rPr>
        <w:t>No. 95 – North Curtin Diplomatic Estate and Urban Area</w:t>
      </w:r>
      <w:r w:rsidR="00490FB4">
        <w:rPr>
          <w:i/>
        </w:rPr>
        <w:t>) Amending Instrument</w:t>
      </w:r>
      <w:r w:rsidR="00D73E13" w:rsidRPr="00D73E13">
        <w:rPr>
          <w:i/>
        </w:rPr>
        <w:t xml:space="preserve"> 2020</w:t>
      </w:r>
      <w:r w:rsidRPr="00D73E13">
        <w:t>.</w:t>
      </w:r>
    </w:p>
    <w:p w:rsidR="005E317F" w:rsidRDefault="005E317F" w:rsidP="005E317F">
      <w:pPr>
        <w:pStyle w:val="ActHead5"/>
      </w:pPr>
      <w:bookmarkStart w:id="3" w:name="_Toc48635386"/>
      <w:r w:rsidRPr="009C2562">
        <w:rPr>
          <w:rStyle w:val="CharSectno"/>
        </w:rPr>
        <w:t>2</w:t>
      </w:r>
      <w:r w:rsidRPr="009C2562">
        <w:t xml:space="preserve">  Commencement</w:t>
      </w:r>
      <w:bookmarkEnd w:id="3"/>
    </w:p>
    <w:p w:rsidR="00002BCC" w:rsidRPr="003422B4" w:rsidRDefault="00002BCC" w:rsidP="00002BCC">
      <w:pPr>
        <w:pStyle w:val="subsection"/>
      </w:pPr>
      <w:r w:rsidRPr="003422B4">
        <w:tab/>
        <w:t>(1)</w:t>
      </w:r>
      <w:r w:rsidRPr="003422B4">
        <w:tab/>
        <w:t>Each provision of this instrument specified in column 1 of the table commences, or is taken to have commenced, in accordance with column 2 of the table. Any other statement in column 2 has effect according to its terms.</w:t>
      </w:r>
    </w:p>
    <w:p w:rsidR="00002BCC" w:rsidRPr="003422B4" w:rsidRDefault="00002BCC" w:rsidP="00002BCC">
      <w:pPr>
        <w:pStyle w:val="Tabletext"/>
      </w:pPr>
    </w:p>
    <w:tbl>
      <w:tblPr>
        <w:tblW w:w="0" w:type="auto"/>
        <w:tblInd w:w="107" w:type="dxa"/>
        <w:tblBorders>
          <w:top w:val="single" w:sz="4" w:space="0" w:color="auto"/>
          <w:bottom w:val="single" w:sz="2" w:space="0" w:color="auto"/>
          <w:insideH w:val="single" w:sz="2" w:space="0" w:color="auto"/>
        </w:tblBorders>
        <w:tblLayout w:type="fixed"/>
        <w:tblCellMar>
          <w:left w:w="107" w:type="dxa"/>
          <w:right w:w="107" w:type="dxa"/>
        </w:tblCellMar>
        <w:tblLook w:val="04A0" w:firstRow="1" w:lastRow="0" w:firstColumn="1" w:lastColumn="0" w:noHBand="0" w:noVBand="1"/>
      </w:tblPr>
      <w:tblGrid>
        <w:gridCol w:w="2127"/>
        <w:gridCol w:w="4394"/>
        <w:gridCol w:w="1843"/>
      </w:tblGrid>
      <w:tr w:rsidR="00002BCC" w:rsidRPr="003422B4" w:rsidTr="00A02135">
        <w:trPr>
          <w:tblHeader/>
        </w:trPr>
        <w:tc>
          <w:tcPr>
            <w:tcW w:w="8364" w:type="dxa"/>
            <w:gridSpan w:val="3"/>
            <w:tcBorders>
              <w:top w:val="single" w:sz="12" w:space="0" w:color="auto"/>
              <w:bottom w:val="single" w:sz="6" w:space="0" w:color="auto"/>
            </w:tcBorders>
            <w:shd w:val="clear" w:color="auto" w:fill="auto"/>
            <w:hideMark/>
          </w:tcPr>
          <w:p w:rsidR="00002BCC" w:rsidRPr="003422B4" w:rsidRDefault="00002BCC" w:rsidP="00A02135">
            <w:pPr>
              <w:pStyle w:val="TableHeading"/>
            </w:pPr>
            <w:r w:rsidRPr="003422B4">
              <w:t>Commencement information</w:t>
            </w:r>
          </w:p>
        </w:tc>
      </w:tr>
      <w:tr w:rsidR="00002BCC" w:rsidRPr="003422B4" w:rsidTr="00A02135">
        <w:trPr>
          <w:tblHeader/>
        </w:trPr>
        <w:tc>
          <w:tcPr>
            <w:tcW w:w="2127" w:type="dxa"/>
            <w:tcBorders>
              <w:top w:val="single" w:sz="6" w:space="0" w:color="auto"/>
              <w:bottom w:val="single" w:sz="6" w:space="0" w:color="auto"/>
            </w:tcBorders>
            <w:shd w:val="clear" w:color="auto" w:fill="auto"/>
            <w:hideMark/>
          </w:tcPr>
          <w:p w:rsidR="00002BCC" w:rsidRPr="003422B4" w:rsidRDefault="00002BCC" w:rsidP="00A02135">
            <w:pPr>
              <w:pStyle w:val="TableHeading"/>
            </w:pPr>
            <w:r w:rsidRPr="003422B4">
              <w:t>Column 1</w:t>
            </w:r>
          </w:p>
        </w:tc>
        <w:tc>
          <w:tcPr>
            <w:tcW w:w="4394" w:type="dxa"/>
            <w:tcBorders>
              <w:top w:val="single" w:sz="6" w:space="0" w:color="auto"/>
              <w:bottom w:val="single" w:sz="6" w:space="0" w:color="auto"/>
            </w:tcBorders>
            <w:shd w:val="clear" w:color="auto" w:fill="auto"/>
            <w:hideMark/>
          </w:tcPr>
          <w:p w:rsidR="00002BCC" w:rsidRPr="003422B4" w:rsidRDefault="00002BCC" w:rsidP="00A02135">
            <w:pPr>
              <w:pStyle w:val="TableHeading"/>
            </w:pPr>
            <w:r w:rsidRPr="003422B4">
              <w:t>Column 2</w:t>
            </w:r>
          </w:p>
        </w:tc>
        <w:tc>
          <w:tcPr>
            <w:tcW w:w="1843" w:type="dxa"/>
            <w:tcBorders>
              <w:top w:val="single" w:sz="6" w:space="0" w:color="auto"/>
              <w:bottom w:val="single" w:sz="6" w:space="0" w:color="auto"/>
            </w:tcBorders>
            <w:shd w:val="clear" w:color="auto" w:fill="auto"/>
            <w:hideMark/>
          </w:tcPr>
          <w:p w:rsidR="00002BCC" w:rsidRPr="003422B4" w:rsidRDefault="00002BCC" w:rsidP="00A02135">
            <w:pPr>
              <w:pStyle w:val="TableHeading"/>
            </w:pPr>
            <w:r w:rsidRPr="003422B4">
              <w:t>Column 3</w:t>
            </w:r>
          </w:p>
        </w:tc>
      </w:tr>
      <w:tr w:rsidR="00002BCC" w:rsidRPr="003422B4" w:rsidTr="00A02135">
        <w:trPr>
          <w:tblHeader/>
        </w:trPr>
        <w:tc>
          <w:tcPr>
            <w:tcW w:w="2127" w:type="dxa"/>
            <w:tcBorders>
              <w:top w:val="single" w:sz="6" w:space="0" w:color="auto"/>
              <w:bottom w:val="single" w:sz="12" w:space="0" w:color="auto"/>
            </w:tcBorders>
            <w:shd w:val="clear" w:color="auto" w:fill="auto"/>
            <w:hideMark/>
          </w:tcPr>
          <w:p w:rsidR="00002BCC" w:rsidRPr="003422B4" w:rsidRDefault="00002BCC" w:rsidP="00A02135">
            <w:pPr>
              <w:pStyle w:val="TableHeading"/>
            </w:pPr>
            <w:r w:rsidRPr="003422B4">
              <w:t>Provisions</w:t>
            </w:r>
          </w:p>
        </w:tc>
        <w:tc>
          <w:tcPr>
            <w:tcW w:w="4394" w:type="dxa"/>
            <w:tcBorders>
              <w:top w:val="single" w:sz="6" w:space="0" w:color="auto"/>
              <w:bottom w:val="single" w:sz="12" w:space="0" w:color="auto"/>
            </w:tcBorders>
            <w:shd w:val="clear" w:color="auto" w:fill="auto"/>
            <w:hideMark/>
          </w:tcPr>
          <w:p w:rsidR="00002BCC" w:rsidRPr="003422B4" w:rsidRDefault="00002BCC" w:rsidP="00A02135">
            <w:pPr>
              <w:pStyle w:val="TableHeading"/>
            </w:pPr>
            <w:r w:rsidRPr="003422B4">
              <w:t>Commencement</w:t>
            </w:r>
          </w:p>
        </w:tc>
        <w:tc>
          <w:tcPr>
            <w:tcW w:w="1843" w:type="dxa"/>
            <w:tcBorders>
              <w:top w:val="single" w:sz="6" w:space="0" w:color="auto"/>
              <w:bottom w:val="single" w:sz="12" w:space="0" w:color="auto"/>
            </w:tcBorders>
            <w:shd w:val="clear" w:color="auto" w:fill="auto"/>
            <w:hideMark/>
          </w:tcPr>
          <w:p w:rsidR="00002BCC" w:rsidRPr="003422B4" w:rsidRDefault="00002BCC" w:rsidP="00A02135">
            <w:pPr>
              <w:pStyle w:val="TableHeading"/>
            </w:pPr>
            <w:r w:rsidRPr="003422B4">
              <w:t>Date/Details</w:t>
            </w:r>
          </w:p>
        </w:tc>
      </w:tr>
      <w:tr w:rsidR="00002BCC" w:rsidRPr="003422B4" w:rsidTr="00A02135">
        <w:tc>
          <w:tcPr>
            <w:tcW w:w="2127" w:type="dxa"/>
            <w:tcBorders>
              <w:top w:val="single" w:sz="12" w:space="0" w:color="auto"/>
              <w:bottom w:val="single" w:sz="12" w:space="0" w:color="auto"/>
            </w:tcBorders>
            <w:shd w:val="clear" w:color="auto" w:fill="auto"/>
            <w:hideMark/>
          </w:tcPr>
          <w:p w:rsidR="00002BCC" w:rsidRPr="002022E5" w:rsidRDefault="00002BCC" w:rsidP="00A02135">
            <w:pPr>
              <w:pStyle w:val="Tabletext"/>
            </w:pPr>
            <w:r w:rsidRPr="002022E5">
              <w:t xml:space="preserve">1.  </w:t>
            </w:r>
            <w:r w:rsidR="00D73E13" w:rsidRPr="002022E5">
              <w:t>The whole of this instrument</w:t>
            </w:r>
          </w:p>
        </w:tc>
        <w:tc>
          <w:tcPr>
            <w:tcW w:w="4394" w:type="dxa"/>
            <w:tcBorders>
              <w:top w:val="single" w:sz="12" w:space="0" w:color="auto"/>
              <w:bottom w:val="single" w:sz="12" w:space="0" w:color="auto"/>
            </w:tcBorders>
            <w:shd w:val="clear" w:color="auto" w:fill="auto"/>
            <w:hideMark/>
          </w:tcPr>
          <w:p w:rsidR="00002BCC" w:rsidRPr="002022E5" w:rsidRDefault="002022E5" w:rsidP="00A02135">
            <w:pPr>
              <w:pStyle w:val="Tabletext"/>
            </w:pPr>
            <w:r>
              <w:t>T</w:t>
            </w:r>
            <w:r w:rsidR="0012376A" w:rsidRPr="002022E5">
              <w:t>he day after this instrument is registered.</w:t>
            </w:r>
          </w:p>
        </w:tc>
        <w:tc>
          <w:tcPr>
            <w:tcW w:w="1843" w:type="dxa"/>
            <w:tcBorders>
              <w:top w:val="single" w:sz="12" w:space="0" w:color="auto"/>
              <w:bottom w:val="single" w:sz="12" w:space="0" w:color="auto"/>
            </w:tcBorders>
            <w:shd w:val="clear" w:color="auto" w:fill="auto"/>
          </w:tcPr>
          <w:p w:rsidR="00002BCC" w:rsidRPr="00B43C50" w:rsidRDefault="00002BCC" w:rsidP="00A02135">
            <w:pPr>
              <w:pStyle w:val="Tabletext"/>
              <w:rPr>
                <w:i/>
              </w:rPr>
            </w:pPr>
          </w:p>
        </w:tc>
      </w:tr>
    </w:tbl>
    <w:p w:rsidR="00002BCC" w:rsidRPr="003422B4" w:rsidRDefault="00002BCC" w:rsidP="00002BCC">
      <w:pPr>
        <w:pStyle w:val="notetext"/>
      </w:pPr>
      <w:r w:rsidRPr="003422B4">
        <w:rPr>
          <w:snapToGrid w:val="0"/>
          <w:lang w:eastAsia="en-US"/>
        </w:rPr>
        <w:t>Note:</w:t>
      </w:r>
      <w:r w:rsidRPr="003422B4">
        <w:rPr>
          <w:snapToGrid w:val="0"/>
          <w:lang w:eastAsia="en-US"/>
        </w:rPr>
        <w:tab/>
        <w:t>This table relates only to the provisions of this instrument</w:t>
      </w:r>
      <w:r w:rsidRPr="003422B4">
        <w:t xml:space="preserve"> </w:t>
      </w:r>
      <w:r w:rsidRPr="003422B4">
        <w:rPr>
          <w:snapToGrid w:val="0"/>
          <w:lang w:eastAsia="en-US"/>
        </w:rPr>
        <w:t>as originally made. It will not be amended to deal with any later amendments of this instrument.</w:t>
      </w:r>
    </w:p>
    <w:p w:rsidR="00002BCC" w:rsidRPr="003422B4" w:rsidRDefault="00002BCC" w:rsidP="00002BCC">
      <w:pPr>
        <w:pStyle w:val="subsection"/>
      </w:pPr>
      <w:r w:rsidRPr="003422B4">
        <w:tab/>
        <w:t>(2)</w:t>
      </w:r>
      <w:r w:rsidRPr="003422B4">
        <w:tab/>
        <w:t>Any information in column 3 of the table is not part of this instrument. Information may be inserted in this column, or information in it may be edited, in any published version of this instrument.</w:t>
      </w:r>
    </w:p>
    <w:p w:rsidR="005E317F" w:rsidRPr="009C2562" w:rsidRDefault="005E317F" w:rsidP="005E317F">
      <w:pPr>
        <w:pStyle w:val="ActHead5"/>
      </w:pPr>
      <w:bookmarkStart w:id="4" w:name="_Toc48635387"/>
      <w:r w:rsidRPr="009C2562">
        <w:rPr>
          <w:rStyle w:val="CharSectno"/>
        </w:rPr>
        <w:t>3</w:t>
      </w:r>
      <w:r w:rsidRPr="009C2562">
        <w:t xml:space="preserve">  Authority</w:t>
      </w:r>
      <w:bookmarkEnd w:id="4"/>
    </w:p>
    <w:p w:rsidR="005E317F" w:rsidRPr="009C2562" w:rsidRDefault="005E317F" w:rsidP="005E317F">
      <w:pPr>
        <w:pStyle w:val="subsection"/>
      </w:pPr>
      <w:r w:rsidRPr="009C2562">
        <w:tab/>
      </w:r>
      <w:r w:rsidRPr="009C2562">
        <w:tab/>
        <w:t xml:space="preserve">This instrument is made under </w:t>
      </w:r>
      <w:r w:rsidR="002022E5">
        <w:t>paragraph</w:t>
      </w:r>
      <w:r w:rsidR="008C754B" w:rsidRPr="008C754B">
        <w:t xml:space="preserve"> 19(1)(a) of the </w:t>
      </w:r>
      <w:r w:rsidR="008C754B" w:rsidRPr="008C754B">
        <w:rPr>
          <w:i/>
        </w:rPr>
        <w:t>Australian Capital Territory (Planning and Land Management) Act 1988</w:t>
      </w:r>
      <w:r w:rsidRPr="008C754B">
        <w:t>.</w:t>
      </w:r>
    </w:p>
    <w:p w:rsidR="005E317F" w:rsidRPr="006065DA" w:rsidRDefault="005E317F" w:rsidP="005E317F">
      <w:pPr>
        <w:pStyle w:val="ActHead5"/>
      </w:pPr>
      <w:bookmarkStart w:id="5" w:name="_Toc48635388"/>
      <w:r w:rsidRPr="006065DA">
        <w:t>4  Schedules</w:t>
      </w:r>
      <w:bookmarkEnd w:id="5"/>
    </w:p>
    <w:p w:rsidR="005E317F" w:rsidRDefault="005E317F" w:rsidP="005E317F">
      <w:pPr>
        <w:pStyle w:val="subsection"/>
      </w:pPr>
      <w:r w:rsidRPr="006065DA">
        <w:tab/>
      </w:r>
      <w:r w:rsidRPr="006065DA">
        <w:tab/>
        <w:t>Each instrument that is specified in a Schedule to this instrument is amended or repealed as set out in the applicable items in the Schedule concerned, and any other item in a Schedule to this instrument has effect according to its terms.</w:t>
      </w:r>
    </w:p>
    <w:p w:rsidR="005E317F" w:rsidRDefault="005E317F" w:rsidP="005E317F">
      <w:pPr>
        <w:pStyle w:val="ActHead6"/>
        <w:pageBreakBefore/>
      </w:pPr>
      <w:bookmarkStart w:id="6" w:name="_Toc48635389"/>
      <w:r w:rsidRPr="00DB64FC">
        <w:rPr>
          <w:rStyle w:val="CharAmSchNo"/>
        </w:rPr>
        <w:lastRenderedPageBreak/>
        <w:t>Schedule 1</w:t>
      </w:r>
      <w:r>
        <w:t>—</w:t>
      </w:r>
      <w:r w:rsidRPr="00DB64FC">
        <w:rPr>
          <w:rStyle w:val="CharAmSchText"/>
        </w:rPr>
        <w:t>Amendments</w:t>
      </w:r>
      <w:bookmarkEnd w:id="6"/>
    </w:p>
    <w:p w:rsidR="005E317F" w:rsidRDefault="006C02BF" w:rsidP="00AE2EB3">
      <w:pPr>
        <w:pStyle w:val="ActHead9"/>
        <w:spacing w:after="120"/>
      </w:pPr>
      <w:bookmarkStart w:id="7" w:name="_Toc48635390"/>
      <w:r w:rsidRPr="006C02BF">
        <w:t>National Capital Plan</w:t>
      </w:r>
      <w:bookmarkEnd w:id="7"/>
    </w:p>
    <w:p w:rsidR="005E317F" w:rsidRDefault="005E317F" w:rsidP="00AE2EB3">
      <w:pPr>
        <w:pStyle w:val="ItemHead"/>
        <w:spacing w:after="120"/>
      </w:pPr>
      <w:r w:rsidRPr="000B0740">
        <w:t xml:space="preserve">1  </w:t>
      </w:r>
      <w:r w:rsidR="006C02BF" w:rsidRPr="000B0740">
        <w:t xml:space="preserve">Part One – The </w:t>
      </w:r>
      <w:r w:rsidR="006C02BF">
        <w:t xml:space="preserve">National Significance of Canberra and the Territory </w:t>
      </w:r>
    </w:p>
    <w:p w:rsidR="005E317F" w:rsidRDefault="00C51B2F" w:rsidP="00AE2EB3">
      <w:pPr>
        <w:pStyle w:val="Item"/>
        <w:spacing w:after="120"/>
      </w:pPr>
      <w:r>
        <w:t>Repeal</w:t>
      </w:r>
      <w:r w:rsidR="006C02BF">
        <w:t xml:space="preserve"> </w:t>
      </w:r>
      <w:r>
        <w:t>‘</w:t>
      </w:r>
      <w:r w:rsidR="006C02BF">
        <w:t>Figure</w:t>
      </w:r>
      <w:r>
        <w:t xml:space="preserve"> 1: Designated Areas’ and substitute</w:t>
      </w:r>
      <w:r w:rsidR="006C02BF">
        <w:t xml:space="preserve"> with the following:</w:t>
      </w:r>
    </w:p>
    <w:p w:rsidR="006C02BF" w:rsidRPr="006C02BF" w:rsidRDefault="006C02BF" w:rsidP="00AE2EB3">
      <w:pPr>
        <w:pStyle w:val="ItemHead"/>
        <w:spacing w:after="120"/>
      </w:pPr>
      <w:r>
        <w:rPr>
          <w:noProof/>
          <w:color w:val="FF0000"/>
        </w:rPr>
        <w:lastRenderedPageBreak/>
        <w:drawing>
          <wp:inline distT="0" distB="0" distL="0" distR="0" wp14:anchorId="740E34DA" wp14:editId="600E7CBD">
            <wp:extent cx="5278755" cy="7460789"/>
            <wp:effectExtent l="0" t="0" r="0" b="6985"/>
            <wp:docPr id="36" name="Picture 36" descr="Mp showing areas of special national significance in the Australian Capital Territory. These include the diplomatic estates, inner hills, Parliamentary Zone and the main avenues and approach routes to the city." title="Designate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A95 - proposed diplo precinct location (2).jpg"/>
                    <pic:cNvPicPr/>
                  </pic:nvPicPr>
                  <pic:blipFill>
                    <a:blip r:embed="rId19">
                      <a:extLst>
                        <a:ext uri="{28A0092B-C50C-407E-A947-70E740481C1C}">
                          <a14:useLocalDpi xmlns:a14="http://schemas.microsoft.com/office/drawing/2010/main" val="0"/>
                        </a:ext>
                      </a:extLst>
                    </a:blip>
                    <a:stretch>
                      <a:fillRect/>
                    </a:stretch>
                  </pic:blipFill>
                  <pic:spPr>
                    <a:xfrm>
                      <a:off x="0" y="0"/>
                      <a:ext cx="5278755" cy="7460789"/>
                    </a:xfrm>
                    <a:prstGeom prst="rect">
                      <a:avLst/>
                    </a:prstGeom>
                  </pic:spPr>
                </pic:pic>
              </a:graphicData>
            </a:graphic>
          </wp:inline>
        </w:drawing>
      </w:r>
    </w:p>
    <w:p w:rsidR="00AE2EB3" w:rsidRDefault="00AE2EB3">
      <w:pPr>
        <w:spacing w:line="240" w:lineRule="auto"/>
        <w:rPr>
          <w:rFonts w:ascii="Arial" w:eastAsia="Times New Roman" w:hAnsi="Arial" w:cs="Times New Roman"/>
          <w:b/>
          <w:kern w:val="28"/>
          <w:sz w:val="24"/>
          <w:lang w:eastAsia="en-AU"/>
        </w:rPr>
      </w:pPr>
      <w:r>
        <w:br w:type="page"/>
      </w:r>
    </w:p>
    <w:p w:rsidR="005E317F" w:rsidRDefault="005E317F" w:rsidP="00AE2EB3">
      <w:pPr>
        <w:pStyle w:val="ItemHead"/>
        <w:spacing w:after="120"/>
      </w:pPr>
      <w:r w:rsidRPr="006C02BF">
        <w:lastRenderedPageBreak/>
        <w:t xml:space="preserve">2  </w:t>
      </w:r>
      <w:r w:rsidR="006C02BF" w:rsidRPr="006C02BF">
        <w:t>Part Three – Land Use Plans and General Land Use Controls</w:t>
      </w:r>
      <w:r w:rsidR="006C02BF">
        <w:t xml:space="preserve"> </w:t>
      </w:r>
    </w:p>
    <w:p w:rsidR="005E317F" w:rsidRDefault="00C51B2F" w:rsidP="00AE2EB3">
      <w:pPr>
        <w:pStyle w:val="Item"/>
        <w:spacing w:after="120"/>
      </w:pPr>
      <w:r>
        <w:t>Repeal</w:t>
      </w:r>
      <w:r w:rsidR="006C02BF">
        <w:t xml:space="preserve"> </w:t>
      </w:r>
      <w:r>
        <w:t>‘</w:t>
      </w:r>
      <w:r w:rsidR="006C02BF">
        <w:t>Figure 2: General Policy Plan – M</w:t>
      </w:r>
      <w:r>
        <w:t>etropolitan Canberra’ and substitute</w:t>
      </w:r>
      <w:r w:rsidR="006C02BF">
        <w:t xml:space="preserve"> with the following:</w:t>
      </w:r>
    </w:p>
    <w:p w:rsidR="006C02BF" w:rsidRPr="006C02BF" w:rsidRDefault="006C02BF" w:rsidP="00AE2EB3">
      <w:pPr>
        <w:pStyle w:val="ItemHead"/>
        <w:spacing w:after="120"/>
      </w:pPr>
      <w:r>
        <w:rPr>
          <w:noProof/>
          <w:sz w:val="16"/>
          <w:szCs w:val="16"/>
        </w:rPr>
        <w:lastRenderedPageBreak/>
        <w:drawing>
          <wp:inline distT="0" distB="0" distL="0" distR="0" wp14:anchorId="36E289E3" wp14:editId="2BD09080">
            <wp:extent cx="5278755" cy="7465467"/>
            <wp:effectExtent l="0" t="0" r="0" b="2540"/>
            <wp:docPr id="29" name="Picture 29" descr="Map showing the general arrangement of land uses across the Australian Capital Territory, the main roads, and location of major employment centres." title="General Policy Plan - Metropolitan Canb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A95 - proposed GPP.jpg"/>
                    <pic:cNvPicPr/>
                  </pic:nvPicPr>
                  <pic:blipFill>
                    <a:blip r:embed="rId20">
                      <a:extLst>
                        <a:ext uri="{28A0092B-C50C-407E-A947-70E740481C1C}">
                          <a14:useLocalDpi xmlns:a14="http://schemas.microsoft.com/office/drawing/2010/main" val="0"/>
                        </a:ext>
                      </a:extLst>
                    </a:blip>
                    <a:stretch>
                      <a:fillRect/>
                    </a:stretch>
                  </pic:blipFill>
                  <pic:spPr>
                    <a:xfrm>
                      <a:off x="0" y="0"/>
                      <a:ext cx="5278755" cy="7465467"/>
                    </a:xfrm>
                    <a:prstGeom prst="rect">
                      <a:avLst/>
                    </a:prstGeom>
                  </pic:spPr>
                </pic:pic>
              </a:graphicData>
            </a:graphic>
          </wp:inline>
        </w:drawing>
      </w:r>
    </w:p>
    <w:p w:rsidR="00AE2EB3" w:rsidRDefault="00AE2EB3">
      <w:pPr>
        <w:spacing w:line="240" w:lineRule="auto"/>
        <w:rPr>
          <w:rFonts w:ascii="Arial" w:eastAsia="Times New Roman" w:hAnsi="Arial" w:cs="Times New Roman"/>
          <w:b/>
          <w:kern w:val="28"/>
          <w:sz w:val="24"/>
          <w:lang w:eastAsia="en-AU"/>
        </w:rPr>
      </w:pPr>
      <w:r>
        <w:br w:type="page"/>
      </w:r>
    </w:p>
    <w:p w:rsidR="005E317F" w:rsidRPr="00AE2EB3" w:rsidRDefault="00505548" w:rsidP="00AE2EB3">
      <w:pPr>
        <w:pStyle w:val="ItemHead"/>
        <w:spacing w:after="120"/>
        <w:rPr>
          <w:rFonts w:cs="Arial"/>
          <w:szCs w:val="24"/>
        </w:rPr>
      </w:pPr>
      <w:r>
        <w:lastRenderedPageBreak/>
        <w:t>3</w:t>
      </w:r>
      <w:r w:rsidRPr="006C02BF">
        <w:t xml:space="preserve">  Part </w:t>
      </w:r>
      <w:r>
        <w:t xml:space="preserve">Four(A) – Principles and Policies for Designated Areas and Special Requirements for National Land outside Designated Areas </w:t>
      </w:r>
    </w:p>
    <w:p w:rsidR="006C02BF" w:rsidRDefault="00C51B2F" w:rsidP="00AE2EB3">
      <w:pPr>
        <w:pStyle w:val="Item"/>
        <w:spacing w:after="120"/>
      </w:pPr>
      <w:r>
        <w:t>Repeal</w:t>
      </w:r>
      <w:r w:rsidR="006C02BF">
        <w:t xml:space="preserve"> </w:t>
      </w:r>
      <w:r>
        <w:t>‘</w:t>
      </w:r>
      <w:r w:rsidR="006C02BF">
        <w:t>Figure 12: Desig</w:t>
      </w:r>
      <w:r>
        <w:t>nated Areas precincts’ and substitute</w:t>
      </w:r>
      <w:r w:rsidR="006C02BF">
        <w:t xml:space="preserve"> with the following:</w:t>
      </w:r>
    </w:p>
    <w:p w:rsidR="005E317F" w:rsidRPr="006065DA" w:rsidRDefault="006C02BF" w:rsidP="00AE2EB3">
      <w:pPr>
        <w:pStyle w:val="Item"/>
        <w:spacing w:after="120"/>
        <w:ind w:left="0"/>
      </w:pPr>
      <w:r>
        <w:rPr>
          <w:noProof/>
          <w:sz w:val="16"/>
          <w:szCs w:val="16"/>
        </w:rPr>
        <w:drawing>
          <wp:inline distT="0" distB="0" distL="0" distR="0" wp14:anchorId="38709980" wp14:editId="52BDA67B">
            <wp:extent cx="5278755" cy="7456695"/>
            <wp:effectExtent l="0" t="0" r="0" b="0"/>
            <wp:docPr id="30" name="Picture 30" descr="Map showing the location of each precinct subject to detailed planning control by the National Capital Authority." title="Designated Areas Precin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A95 - proposed Figure 1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8755" cy="7456695"/>
                    </a:xfrm>
                    <a:prstGeom prst="rect">
                      <a:avLst/>
                    </a:prstGeom>
                  </pic:spPr>
                </pic:pic>
              </a:graphicData>
            </a:graphic>
          </wp:inline>
        </w:drawing>
      </w:r>
      <w:r>
        <w:t xml:space="preserve"> </w:t>
      </w:r>
    </w:p>
    <w:p w:rsidR="005E317F" w:rsidRDefault="005E317F" w:rsidP="00AE2EB3">
      <w:pPr>
        <w:pStyle w:val="ItemHead"/>
        <w:spacing w:after="120"/>
      </w:pPr>
      <w:r w:rsidRPr="006C02BF">
        <w:lastRenderedPageBreak/>
        <w:t xml:space="preserve">4  </w:t>
      </w:r>
      <w:r w:rsidR="006C02BF" w:rsidRPr="006C02BF">
        <w:t>Section 4.1 The Central National Area</w:t>
      </w:r>
    </w:p>
    <w:p w:rsidR="00E31819" w:rsidRPr="00E31819" w:rsidRDefault="00E31819" w:rsidP="00AE2EB3">
      <w:pPr>
        <w:pStyle w:val="Item"/>
        <w:spacing w:after="120"/>
        <w:rPr>
          <w:szCs w:val="22"/>
        </w:rPr>
      </w:pPr>
      <w:r w:rsidRPr="00E31819">
        <w:rPr>
          <w:szCs w:val="22"/>
        </w:rPr>
        <w:t>Omit:</w:t>
      </w:r>
    </w:p>
    <w:p w:rsidR="00E31819" w:rsidRPr="00E31819" w:rsidRDefault="00E31819" w:rsidP="00AE2EB3">
      <w:pPr>
        <w:pStyle w:val="ItemHead"/>
        <w:numPr>
          <w:ilvl w:val="0"/>
          <w:numId w:val="27"/>
        </w:numPr>
        <w:spacing w:after="120"/>
        <w:rPr>
          <w:rFonts w:ascii="Times New Roman" w:hAnsi="Times New Roman"/>
          <w:b w:val="0"/>
          <w:sz w:val="22"/>
          <w:szCs w:val="22"/>
        </w:rPr>
      </w:pPr>
      <w:r w:rsidRPr="00E31819">
        <w:rPr>
          <w:rFonts w:ascii="Times New Roman" w:hAnsi="Times New Roman"/>
          <w:b w:val="0"/>
          <w:sz w:val="22"/>
          <w:szCs w:val="22"/>
        </w:rPr>
        <w:t>Diplomatic</w:t>
      </w:r>
      <w:r>
        <w:rPr>
          <w:rFonts w:ascii="Times New Roman" w:hAnsi="Times New Roman"/>
          <w:b w:val="0"/>
          <w:sz w:val="22"/>
          <w:szCs w:val="22"/>
        </w:rPr>
        <w:t xml:space="preserve"> Precinct (Yarralumla, Deakin and O’Malley)</w:t>
      </w:r>
    </w:p>
    <w:p w:rsidR="00E31819" w:rsidRDefault="00E31819" w:rsidP="00AE2EB3">
      <w:pPr>
        <w:pStyle w:val="Item"/>
        <w:spacing w:after="120"/>
      </w:pPr>
      <w:r>
        <w:t>Substitute:</w:t>
      </w:r>
    </w:p>
    <w:p w:rsidR="005E317F" w:rsidRPr="00E31819" w:rsidRDefault="006C02BF" w:rsidP="00AE2EB3">
      <w:pPr>
        <w:pStyle w:val="ItemHead"/>
        <w:numPr>
          <w:ilvl w:val="0"/>
          <w:numId w:val="27"/>
        </w:numPr>
        <w:spacing w:after="120"/>
        <w:rPr>
          <w:rFonts w:ascii="Times New Roman" w:hAnsi="Times New Roman"/>
          <w:b w:val="0"/>
          <w:sz w:val="22"/>
          <w:szCs w:val="22"/>
        </w:rPr>
      </w:pPr>
      <w:r w:rsidRPr="00E31819">
        <w:rPr>
          <w:rFonts w:ascii="Times New Roman" w:hAnsi="Times New Roman"/>
          <w:b w:val="0"/>
          <w:sz w:val="22"/>
          <w:szCs w:val="22"/>
        </w:rPr>
        <w:t xml:space="preserve">Diplomatic Precinct (Yarralumla, Deakin, O’Malley and Curtin)’. </w:t>
      </w:r>
    </w:p>
    <w:p w:rsidR="005E317F" w:rsidRDefault="005E317F" w:rsidP="00AE2EB3">
      <w:pPr>
        <w:pStyle w:val="ItemHead"/>
        <w:spacing w:after="120"/>
      </w:pPr>
      <w:r w:rsidRPr="00E25D1D">
        <w:t xml:space="preserve">5  </w:t>
      </w:r>
      <w:r w:rsidR="006C02BF" w:rsidRPr="00E25D1D">
        <w:t>Section 4.12.1 Lake Burley Griffin and Foreshores Precinct Code</w:t>
      </w:r>
    </w:p>
    <w:p w:rsidR="005E317F" w:rsidRDefault="00C51B2F" w:rsidP="00AE2EB3">
      <w:pPr>
        <w:pStyle w:val="Item"/>
        <w:spacing w:after="120"/>
      </w:pPr>
      <w:r>
        <w:t>Repeal ‘Figure 113: Lake Burle</w:t>
      </w:r>
      <w:r w:rsidR="006C02BF">
        <w:t>y Griffin and Foreshor</w:t>
      </w:r>
      <w:r>
        <w:t>es Precinct location’ and substitute</w:t>
      </w:r>
      <w:r w:rsidR="006C02BF">
        <w:t xml:space="preserve"> with the following:</w:t>
      </w:r>
    </w:p>
    <w:p w:rsidR="006C02BF" w:rsidRPr="006C02BF" w:rsidRDefault="006C02BF" w:rsidP="00AE2EB3">
      <w:pPr>
        <w:pStyle w:val="ItemHead"/>
        <w:spacing w:after="120"/>
      </w:pPr>
      <w:r>
        <w:rPr>
          <w:noProof/>
        </w:rPr>
        <w:drawing>
          <wp:inline distT="0" distB="0" distL="0" distR="0" wp14:anchorId="6BE07F09" wp14:editId="1E7666E5">
            <wp:extent cx="5278755" cy="3734781"/>
            <wp:effectExtent l="0" t="0" r="0" b="0"/>
            <wp:docPr id="31" name="Picture 31" descr="Map showing the location of the Lake Burley Griffin and Foreshores Precinct." title="Lake Burley Griffin and Foreshores Precinc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A95 - proposed LBG Precinct locati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8755" cy="3734781"/>
                    </a:xfrm>
                    <a:prstGeom prst="rect">
                      <a:avLst/>
                    </a:prstGeom>
                  </pic:spPr>
                </pic:pic>
              </a:graphicData>
            </a:graphic>
          </wp:inline>
        </w:drawing>
      </w:r>
    </w:p>
    <w:p w:rsidR="005E317F" w:rsidRDefault="00E25D1D" w:rsidP="00AE2EB3">
      <w:pPr>
        <w:pStyle w:val="ItemHead"/>
        <w:spacing w:after="120"/>
      </w:pPr>
      <w:r>
        <w:t>6  Section 4.12.4 Lake Burley Griffin and Foreshores Precinct Code – Land use for Lake Burley Griffin and Foreshores</w:t>
      </w:r>
    </w:p>
    <w:p w:rsidR="005E317F" w:rsidRDefault="00C51B2F" w:rsidP="00AE2EB3">
      <w:pPr>
        <w:pStyle w:val="Item"/>
        <w:spacing w:after="120"/>
      </w:pPr>
      <w:r>
        <w:t>Repeal</w:t>
      </w:r>
      <w:r w:rsidR="00E25D1D">
        <w:t xml:space="preserve"> </w:t>
      </w:r>
      <w:r>
        <w:t>‘</w:t>
      </w:r>
      <w:r w:rsidR="00E25D1D">
        <w:t>Figure 114: Land use for the Lake Burley Griffin and</w:t>
      </w:r>
      <w:r>
        <w:t xml:space="preserve"> Foreshores Precinct’ and substitute</w:t>
      </w:r>
      <w:r w:rsidR="00E25D1D">
        <w:t xml:space="preserve"> with the following:</w:t>
      </w:r>
    </w:p>
    <w:p w:rsidR="006C02BF" w:rsidRDefault="00E25D1D" w:rsidP="00AE2EB3">
      <w:pPr>
        <w:pStyle w:val="ItemHead"/>
        <w:spacing w:after="120"/>
      </w:pPr>
      <w:r>
        <w:rPr>
          <w:noProof/>
          <w:color w:val="FF0000"/>
        </w:rPr>
        <w:lastRenderedPageBreak/>
        <w:drawing>
          <wp:inline distT="0" distB="0" distL="0" distR="0" wp14:anchorId="1103F0C9" wp14:editId="5F390B69">
            <wp:extent cx="5278755" cy="3736535"/>
            <wp:effectExtent l="0" t="0" r="0" b="0"/>
            <wp:docPr id="24" name="Picture 24" descr="Map showing the permitted land uses within the Lake Burley Griffin and Foreshores Precinct." title="Lake Burley Griffin and Foreshores Precinct land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BG Precinct Code land us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8755" cy="3736535"/>
                    </a:xfrm>
                    <a:prstGeom prst="rect">
                      <a:avLst/>
                    </a:prstGeom>
                  </pic:spPr>
                </pic:pic>
              </a:graphicData>
            </a:graphic>
          </wp:inline>
        </w:drawing>
      </w:r>
    </w:p>
    <w:p w:rsidR="00E25D1D" w:rsidRDefault="00E25D1D" w:rsidP="00AE2EB3">
      <w:pPr>
        <w:pStyle w:val="ItemHead"/>
        <w:spacing w:after="120"/>
      </w:pPr>
      <w:r>
        <w:t>7  Section 4.14 Diplomatic Precinct (Yarralumla, Deakin and O’Malley)</w:t>
      </w:r>
    </w:p>
    <w:p w:rsidR="00E31819" w:rsidRDefault="00E31819" w:rsidP="00AE2EB3">
      <w:pPr>
        <w:pStyle w:val="Item"/>
        <w:spacing w:after="120"/>
      </w:pPr>
      <w:r>
        <w:t>Omit:</w:t>
      </w:r>
    </w:p>
    <w:p w:rsidR="00E31819" w:rsidRDefault="00E31819" w:rsidP="00AE2EB3">
      <w:pPr>
        <w:pStyle w:val="Item"/>
        <w:numPr>
          <w:ilvl w:val="0"/>
          <w:numId w:val="27"/>
        </w:numPr>
        <w:spacing w:after="120"/>
      </w:pPr>
      <w:r>
        <w:t>Diplomatic Precinct (Yarralumla, Deakin and O’Malley) Code</w:t>
      </w:r>
    </w:p>
    <w:p w:rsidR="00E31819" w:rsidRPr="00E31819" w:rsidRDefault="00E31819" w:rsidP="00AE2EB3">
      <w:pPr>
        <w:pStyle w:val="Item"/>
        <w:spacing w:after="120"/>
      </w:pPr>
      <w:r>
        <w:t>Substitute:</w:t>
      </w:r>
    </w:p>
    <w:p w:rsidR="00E25D1D" w:rsidRDefault="00E25D1D" w:rsidP="00AE2EB3">
      <w:pPr>
        <w:pStyle w:val="Item"/>
        <w:numPr>
          <w:ilvl w:val="0"/>
          <w:numId w:val="27"/>
        </w:numPr>
        <w:spacing w:after="120"/>
      </w:pPr>
      <w:r>
        <w:t>Diplomatic Precinct (Yarralumla, De</w:t>
      </w:r>
      <w:r w:rsidR="00E31819">
        <w:t>akin, O’Malley and Curtin) Code</w:t>
      </w:r>
    </w:p>
    <w:p w:rsidR="00E67092" w:rsidRPr="00E67092" w:rsidRDefault="00E25D1D" w:rsidP="00AE2EB3">
      <w:pPr>
        <w:pStyle w:val="ItemHead"/>
        <w:spacing w:after="120"/>
      </w:pPr>
      <w:r>
        <w:t xml:space="preserve">8  Section 4.14.1 Diplomatic Precinct (Yarralumla, Deakin and O’Malley) </w:t>
      </w:r>
    </w:p>
    <w:p w:rsidR="00E25D1D" w:rsidRDefault="00C51B2F" w:rsidP="00AE2EB3">
      <w:pPr>
        <w:pStyle w:val="Item"/>
        <w:spacing w:after="120"/>
      </w:pPr>
      <w:r>
        <w:t>Repeal</w:t>
      </w:r>
      <w:r w:rsidR="00E25D1D">
        <w:t xml:space="preserve"> </w:t>
      </w:r>
      <w:r>
        <w:t>‘</w:t>
      </w:r>
      <w:r w:rsidR="00E25D1D">
        <w:t>Figure 122: Yarralumla and Deakin Diplomat</w:t>
      </w:r>
      <w:r>
        <w:t>ic Precinct location’ and substitute</w:t>
      </w:r>
      <w:r w:rsidR="00E25D1D">
        <w:t xml:space="preserve"> with the following: </w:t>
      </w:r>
    </w:p>
    <w:p w:rsidR="006C02BF" w:rsidRPr="00AE2EB3" w:rsidRDefault="00E25D1D" w:rsidP="00AE2EB3">
      <w:pPr>
        <w:pStyle w:val="ItemHead"/>
        <w:spacing w:after="120"/>
      </w:pPr>
      <w:r>
        <w:rPr>
          <w:noProof/>
          <w:color w:val="FF0000"/>
        </w:rPr>
        <w:lastRenderedPageBreak/>
        <w:drawing>
          <wp:inline distT="0" distB="0" distL="0" distR="0" wp14:anchorId="7BD3A271" wp14:editId="010BC908">
            <wp:extent cx="5278755" cy="3734781"/>
            <wp:effectExtent l="0" t="0" r="0" b="0"/>
            <wp:docPr id="34" name="Picture 34" descr="Map showing the location of the North Curtin, Deakin and Yarralumla diplomatic enclaves." title="Diplomatic Precinc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A95 - proposed diplo precinct location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8755" cy="3734781"/>
                    </a:xfrm>
                    <a:prstGeom prst="rect">
                      <a:avLst/>
                    </a:prstGeom>
                  </pic:spPr>
                </pic:pic>
              </a:graphicData>
            </a:graphic>
          </wp:inline>
        </w:drawing>
      </w:r>
    </w:p>
    <w:p w:rsidR="00C51B2F" w:rsidRDefault="00C51B2F" w:rsidP="00AE2EB3">
      <w:pPr>
        <w:pStyle w:val="ItemHead"/>
        <w:spacing w:after="120"/>
      </w:pPr>
      <w:r>
        <w:t xml:space="preserve">9  Section 4.14.1 Diplomatic Precinct (Yarralumla, Deakin and O’Malley) </w:t>
      </w:r>
    </w:p>
    <w:p w:rsidR="00C51B2F" w:rsidRDefault="00C51B2F" w:rsidP="00AE2EB3">
      <w:pPr>
        <w:spacing w:after="120"/>
        <w:ind w:firstLine="360"/>
        <w:rPr>
          <w:rFonts w:cs="Times New Roman"/>
        </w:rPr>
      </w:pPr>
      <w:r>
        <w:rPr>
          <w:rFonts w:cs="Times New Roman"/>
        </w:rPr>
        <w:t>Omit:</w:t>
      </w:r>
    </w:p>
    <w:p w:rsidR="006C02BF" w:rsidRPr="00591A4E" w:rsidRDefault="006C02BF" w:rsidP="00AE2EB3">
      <w:pPr>
        <w:pStyle w:val="ListParagraph"/>
        <w:numPr>
          <w:ilvl w:val="0"/>
          <w:numId w:val="26"/>
        </w:numPr>
        <w:spacing w:after="120"/>
        <w:contextualSpacing w:val="0"/>
        <w:rPr>
          <w:rFonts w:ascii="Times New Roman" w:hAnsi="Times New Roman" w:cs="Times New Roman"/>
        </w:rPr>
      </w:pPr>
      <w:r w:rsidRPr="00591A4E">
        <w:rPr>
          <w:rFonts w:ascii="Times New Roman" w:hAnsi="Times New Roman" w:cs="Times New Roman"/>
        </w:rPr>
        <w:t>Figure 122</w:t>
      </w:r>
      <w:r w:rsidR="00591A4E" w:rsidRPr="00591A4E">
        <w:rPr>
          <w:rFonts w:ascii="Times New Roman" w:hAnsi="Times New Roman" w:cs="Times New Roman"/>
        </w:rPr>
        <w:t xml:space="preserve">: </w:t>
      </w:r>
      <w:r w:rsidR="00591A4E" w:rsidRPr="00591A4E">
        <w:rPr>
          <w:rFonts w:ascii="Times New Roman" w:hAnsi="Times New Roman" w:cs="Times New Roman"/>
          <w:color w:val="1A2023"/>
          <w:sz w:val="23"/>
          <w:szCs w:val="23"/>
          <w:shd w:val="clear" w:color="auto" w:fill="FEFEFE"/>
        </w:rPr>
        <w:t>Yarralumla and Deakin Diplomatic Precinct location</w:t>
      </w:r>
      <w:r w:rsidRPr="00591A4E">
        <w:rPr>
          <w:rFonts w:ascii="Times New Roman" w:hAnsi="Times New Roman" w:cs="Times New Roman"/>
        </w:rPr>
        <w:t xml:space="preserve"> </w:t>
      </w:r>
    </w:p>
    <w:p w:rsidR="00C51B2F" w:rsidRDefault="00C51B2F" w:rsidP="00AE2EB3">
      <w:pPr>
        <w:spacing w:after="120"/>
        <w:ind w:firstLine="360"/>
        <w:rPr>
          <w:rFonts w:cs="Times New Roman"/>
        </w:rPr>
      </w:pPr>
      <w:r>
        <w:rPr>
          <w:rFonts w:cs="Times New Roman"/>
        </w:rPr>
        <w:t>Substitute:</w:t>
      </w:r>
    </w:p>
    <w:p w:rsidR="00C51B2F" w:rsidRPr="00591A4E" w:rsidRDefault="00591A4E" w:rsidP="00AE2EB3">
      <w:pPr>
        <w:pStyle w:val="ListParagraph"/>
        <w:numPr>
          <w:ilvl w:val="0"/>
          <w:numId w:val="26"/>
        </w:numPr>
        <w:spacing w:after="120"/>
        <w:contextualSpacing w:val="0"/>
        <w:rPr>
          <w:rFonts w:ascii="Times New Roman" w:hAnsi="Times New Roman" w:cs="Times New Roman"/>
        </w:rPr>
      </w:pPr>
      <w:r w:rsidRPr="00591A4E">
        <w:rPr>
          <w:rFonts w:ascii="Times New Roman" w:hAnsi="Times New Roman" w:cs="Times New Roman"/>
        </w:rPr>
        <w:t>Figure 122</w:t>
      </w:r>
      <w:r>
        <w:rPr>
          <w:rFonts w:ascii="Times New Roman" w:hAnsi="Times New Roman" w:cs="Times New Roman"/>
        </w:rPr>
        <w:t>: Yarralumla, Deakin and Curtin Diplomatic Precinct location</w:t>
      </w:r>
    </w:p>
    <w:p w:rsidR="00C51B2F" w:rsidRPr="00AE2EB3" w:rsidRDefault="00C51B2F" w:rsidP="00AE2EB3">
      <w:pPr>
        <w:pStyle w:val="ItemHead"/>
        <w:spacing w:after="120"/>
      </w:pPr>
      <w:r>
        <w:t xml:space="preserve">10  Section 4.14.1 Diplomatic Precinct (Yarralumla, Deakin and O’Malley) </w:t>
      </w:r>
    </w:p>
    <w:p w:rsidR="00CE477D" w:rsidRDefault="00CE477D" w:rsidP="00AE2EB3">
      <w:pPr>
        <w:spacing w:after="120"/>
        <w:ind w:firstLine="360"/>
        <w:rPr>
          <w:rFonts w:cs="Times New Roman"/>
        </w:rPr>
      </w:pPr>
      <w:r>
        <w:rPr>
          <w:rFonts w:cs="Times New Roman"/>
        </w:rPr>
        <w:t>Omit:</w:t>
      </w:r>
    </w:p>
    <w:p w:rsidR="00CE477D" w:rsidRPr="00AE2EB3" w:rsidRDefault="00CE477D" w:rsidP="00AE2EB3">
      <w:pPr>
        <w:pStyle w:val="ListParagraph"/>
        <w:numPr>
          <w:ilvl w:val="0"/>
          <w:numId w:val="26"/>
        </w:numPr>
        <w:spacing w:after="120"/>
        <w:contextualSpacing w:val="0"/>
        <w:rPr>
          <w:rFonts w:ascii="Times New Roman" w:hAnsi="Times New Roman" w:cs="Times New Roman"/>
        </w:rPr>
      </w:pPr>
      <w:r w:rsidRPr="00AE2EB3">
        <w:rPr>
          <w:rFonts w:ascii="Times New Roman" w:hAnsi="Times New Roman" w:cs="Times New Roman"/>
        </w:rPr>
        <w:t>The Diplomatic Precinct is comprised of three separate areas:</w:t>
      </w:r>
    </w:p>
    <w:p w:rsidR="00CE477D" w:rsidRPr="00AE2EB3" w:rsidRDefault="00CE477D" w:rsidP="00AE2EB3">
      <w:pPr>
        <w:pStyle w:val="ListParagraph"/>
        <w:numPr>
          <w:ilvl w:val="1"/>
          <w:numId w:val="26"/>
        </w:numPr>
        <w:spacing w:after="120"/>
        <w:contextualSpacing w:val="0"/>
        <w:rPr>
          <w:rFonts w:ascii="Times New Roman" w:hAnsi="Times New Roman" w:cs="Times New Roman"/>
        </w:rPr>
      </w:pPr>
      <w:r w:rsidRPr="00AE2EB3">
        <w:rPr>
          <w:rFonts w:ascii="Times New Roman" w:hAnsi="Times New Roman" w:cs="Times New Roman"/>
        </w:rPr>
        <w:t>Yarralumla</w:t>
      </w:r>
    </w:p>
    <w:p w:rsidR="00CE477D" w:rsidRPr="00AE2EB3" w:rsidRDefault="00CE477D" w:rsidP="00AE2EB3">
      <w:pPr>
        <w:pStyle w:val="ListParagraph"/>
        <w:numPr>
          <w:ilvl w:val="1"/>
          <w:numId w:val="26"/>
        </w:numPr>
        <w:spacing w:after="120"/>
        <w:contextualSpacing w:val="0"/>
        <w:rPr>
          <w:rFonts w:ascii="Times New Roman" w:hAnsi="Times New Roman" w:cs="Times New Roman"/>
        </w:rPr>
      </w:pPr>
      <w:r w:rsidRPr="00AE2EB3">
        <w:rPr>
          <w:rFonts w:ascii="Times New Roman" w:hAnsi="Times New Roman" w:cs="Times New Roman"/>
        </w:rPr>
        <w:t>Deakin</w:t>
      </w:r>
    </w:p>
    <w:p w:rsidR="00CE477D" w:rsidRPr="00AE2EB3" w:rsidRDefault="00CE477D" w:rsidP="00AE2EB3">
      <w:pPr>
        <w:pStyle w:val="ListParagraph"/>
        <w:numPr>
          <w:ilvl w:val="1"/>
          <w:numId w:val="26"/>
        </w:numPr>
        <w:spacing w:after="120"/>
        <w:contextualSpacing w:val="0"/>
        <w:rPr>
          <w:rFonts w:ascii="Times New Roman" w:hAnsi="Times New Roman" w:cs="Times New Roman"/>
        </w:rPr>
      </w:pPr>
      <w:r w:rsidRPr="00AE2EB3">
        <w:rPr>
          <w:rFonts w:ascii="Times New Roman" w:hAnsi="Times New Roman" w:cs="Times New Roman"/>
        </w:rPr>
        <w:t>O’Malley.</w:t>
      </w:r>
    </w:p>
    <w:p w:rsidR="00CE477D" w:rsidRPr="00AE2EB3" w:rsidRDefault="00CE477D" w:rsidP="00AE2EB3">
      <w:pPr>
        <w:spacing w:after="120"/>
        <w:ind w:firstLine="360"/>
        <w:rPr>
          <w:rFonts w:cs="Times New Roman"/>
        </w:rPr>
      </w:pPr>
      <w:r w:rsidRPr="00AE2EB3">
        <w:rPr>
          <w:rFonts w:cs="Times New Roman"/>
        </w:rPr>
        <w:t>Substitute:</w:t>
      </w:r>
    </w:p>
    <w:p w:rsidR="00955BE8" w:rsidRPr="00AE2EB3" w:rsidRDefault="00955BE8" w:rsidP="00AE2EB3">
      <w:pPr>
        <w:pStyle w:val="ListParagraph"/>
        <w:numPr>
          <w:ilvl w:val="0"/>
          <w:numId w:val="26"/>
        </w:numPr>
        <w:spacing w:after="120"/>
        <w:contextualSpacing w:val="0"/>
        <w:rPr>
          <w:rFonts w:ascii="Times New Roman" w:hAnsi="Times New Roman" w:cs="Times New Roman"/>
        </w:rPr>
      </w:pPr>
      <w:r w:rsidRPr="00AE2EB3">
        <w:rPr>
          <w:rFonts w:ascii="Times New Roman" w:hAnsi="Times New Roman" w:cs="Times New Roman"/>
        </w:rPr>
        <w:t>The Diplomatic Precinct is comprised of four separate areas:</w:t>
      </w:r>
    </w:p>
    <w:p w:rsidR="00955BE8" w:rsidRPr="00AE2EB3" w:rsidRDefault="00955BE8" w:rsidP="00AE2EB3">
      <w:pPr>
        <w:pStyle w:val="ListParagraph"/>
        <w:numPr>
          <w:ilvl w:val="1"/>
          <w:numId w:val="26"/>
        </w:numPr>
        <w:spacing w:after="120"/>
        <w:contextualSpacing w:val="0"/>
        <w:rPr>
          <w:rFonts w:ascii="Times New Roman" w:hAnsi="Times New Roman" w:cs="Times New Roman"/>
        </w:rPr>
      </w:pPr>
      <w:r w:rsidRPr="00AE2EB3">
        <w:rPr>
          <w:rFonts w:ascii="Times New Roman" w:hAnsi="Times New Roman" w:cs="Times New Roman"/>
        </w:rPr>
        <w:t>Yarralumla</w:t>
      </w:r>
    </w:p>
    <w:p w:rsidR="00955BE8" w:rsidRPr="00AE2EB3" w:rsidRDefault="00955BE8" w:rsidP="00AE2EB3">
      <w:pPr>
        <w:pStyle w:val="ListParagraph"/>
        <w:numPr>
          <w:ilvl w:val="1"/>
          <w:numId w:val="26"/>
        </w:numPr>
        <w:spacing w:after="120"/>
        <w:contextualSpacing w:val="0"/>
        <w:rPr>
          <w:rFonts w:ascii="Times New Roman" w:hAnsi="Times New Roman" w:cs="Times New Roman"/>
        </w:rPr>
      </w:pPr>
      <w:r w:rsidRPr="00AE2EB3">
        <w:rPr>
          <w:rFonts w:ascii="Times New Roman" w:hAnsi="Times New Roman" w:cs="Times New Roman"/>
        </w:rPr>
        <w:t>Deakin</w:t>
      </w:r>
    </w:p>
    <w:p w:rsidR="00955BE8" w:rsidRPr="00AE2EB3" w:rsidRDefault="00955BE8" w:rsidP="00AE2EB3">
      <w:pPr>
        <w:pStyle w:val="ListParagraph"/>
        <w:numPr>
          <w:ilvl w:val="1"/>
          <w:numId w:val="26"/>
        </w:numPr>
        <w:spacing w:after="120"/>
        <w:contextualSpacing w:val="0"/>
        <w:rPr>
          <w:rFonts w:ascii="Times New Roman" w:hAnsi="Times New Roman" w:cs="Times New Roman"/>
        </w:rPr>
      </w:pPr>
      <w:r w:rsidRPr="00AE2EB3">
        <w:rPr>
          <w:rFonts w:ascii="Times New Roman" w:hAnsi="Times New Roman" w:cs="Times New Roman"/>
        </w:rPr>
        <w:t>O’Malley</w:t>
      </w:r>
    </w:p>
    <w:p w:rsidR="00591A4E" w:rsidRPr="00AE2EB3" w:rsidRDefault="00955BE8" w:rsidP="00AE2EB3">
      <w:pPr>
        <w:pStyle w:val="ListParagraph"/>
        <w:numPr>
          <w:ilvl w:val="1"/>
          <w:numId w:val="26"/>
        </w:numPr>
        <w:spacing w:after="120"/>
        <w:contextualSpacing w:val="0"/>
        <w:rPr>
          <w:rFonts w:ascii="Times New Roman" w:hAnsi="Times New Roman" w:cs="Times New Roman"/>
        </w:rPr>
      </w:pPr>
      <w:r w:rsidRPr="00AE2EB3">
        <w:rPr>
          <w:rFonts w:ascii="Times New Roman" w:hAnsi="Times New Roman" w:cs="Times New Roman"/>
        </w:rPr>
        <w:t>Curtin.</w:t>
      </w:r>
    </w:p>
    <w:p w:rsidR="00955BE8" w:rsidRDefault="00CE477D" w:rsidP="00AE2EB3">
      <w:pPr>
        <w:pStyle w:val="ItemHead"/>
        <w:spacing w:after="120"/>
      </w:pPr>
      <w:r>
        <w:lastRenderedPageBreak/>
        <w:t>11</w:t>
      </w:r>
      <w:r w:rsidR="00500761">
        <w:t xml:space="preserve">  Section 4.14.3 Objectives for the Diplomatic Precinct (Yarralumla, Deakin, O’Malley and Curtin)</w:t>
      </w:r>
    </w:p>
    <w:p w:rsidR="00955BE8" w:rsidRDefault="00955BE8" w:rsidP="00AE2EB3">
      <w:pPr>
        <w:spacing w:after="120"/>
        <w:ind w:firstLine="360"/>
        <w:rPr>
          <w:rFonts w:cs="Times New Roman"/>
        </w:rPr>
      </w:pPr>
      <w:r>
        <w:rPr>
          <w:rFonts w:cs="Times New Roman"/>
        </w:rPr>
        <w:t>Omit:</w:t>
      </w:r>
    </w:p>
    <w:p w:rsidR="00955BE8" w:rsidRPr="00591A4E" w:rsidRDefault="00955BE8" w:rsidP="00AE2EB3">
      <w:pPr>
        <w:pStyle w:val="ListParagraph"/>
        <w:numPr>
          <w:ilvl w:val="0"/>
          <w:numId w:val="26"/>
        </w:numPr>
        <w:spacing w:after="120"/>
        <w:contextualSpacing w:val="0"/>
        <w:rPr>
          <w:rFonts w:ascii="Times New Roman" w:hAnsi="Times New Roman" w:cs="Times New Roman"/>
        </w:rPr>
      </w:pPr>
      <w:r>
        <w:rPr>
          <w:rFonts w:ascii="Times New Roman" w:hAnsi="Times New Roman" w:cs="Times New Roman"/>
        </w:rPr>
        <w:t>Objectives for the Diplomatic Precinct (Yarralumla, Deakin and O’Malley)</w:t>
      </w:r>
    </w:p>
    <w:p w:rsidR="00955BE8" w:rsidRDefault="00955BE8" w:rsidP="00AE2EB3">
      <w:pPr>
        <w:spacing w:after="120"/>
        <w:ind w:firstLine="360"/>
        <w:rPr>
          <w:rFonts w:cs="Times New Roman"/>
        </w:rPr>
      </w:pPr>
      <w:r>
        <w:rPr>
          <w:rFonts w:cs="Times New Roman"/>
        </w:rPr>
        <w:t>Substitute:</w:t>
      </w:r>
    </w:p>
    <w:p w:rsidR="00955BE8" w:rsidRPr="00591A4E" w:rsidRDefault="00955BE8" w:rsidP="00AE2EB3">
      <w:pPr>
        <w:pStyle w:val="ListParagraph"/>
        <w:numPr>
          <w:ilvl w:val="0"/>
          <w:numId w:val="26"/>
        </w:numPr>
        <w:spacing w:after="120"/>
        <w:contextualSpacing w:val="0"/>
        <w:rPr>
          <w:rFonts w:ascii="Times New Roman" w:hAnsi="Times New Roman" w:cs="Times New Roman"/>
        </w:rPr>
      </w:pPr>
      <w:r>
        <w:rPr>
          <w:rFonts w:ascii="Times New Roman" w:hAnsi="Times New Roman" w:cs="Times New Roman"/>
        </w:rPr>
        <w:t>Objectives for the Diplomatic Precinct (Yarralumla, Deakin, O’Malley and Curtin)</w:t>
      </w:r>
    </w:p>
    <w:p w:rsidR="00955BE8" w:rsidRDefault="00CE477D" w:rsidP="00AE2EB3">
      <w:pPr>
        <w:pStyle w:val="ItemHead"/>
        <w:spacing w:after="120"/>
      </w:pPr>
      <w:r>
        <w:t>12</w:t>
      </w:r>
      <w:r w:rsidR="00500761">
        <w:t xml:space="preserve">  Section 4.14.4 Land use for the Diplomatic Precinct (Yarralumla, Deakin, O’Malley and Curtin)</w:t>
      </w:r>
    </w:p>
    <w:p w:rsidR="00955BE8" w:rsidRDefault="00955BE8" w:rsidP="00AE2EB3">
      <w:pPr>
        <w:spacing w:after="120"/>
        <w:ind w:firstLine="360"/>
        <w:rPr>
          <w:rFonts w:cs="Times New Roman"/>
        </w:rPr>
      </w:pPr>
      <w:r>
        <w:rPr>
          <w:rFonts w:cs="Times New Roman"/>
        </w:rPr>
        <w:t>Omit:</w:t>
      </w:r>
    </w:p>
    <w:p w:rsidR="00955BE8" w:rsidRPr="00591A4E" w:rsidRDefault="00955BE8" w:rsidP="00AE2EB3">
      <w:pPr>
        <w:pStyle w:val="ListParagraph"/>
        <w:numPr>
          <w:ilvl w:val="0"/>
          <w:numId w:val="26"/>
        </w:numPr>
        <w:spacing w:after="120"/>
        <w:contextualSpacing w:val="0"/>
        <w:rPr>
          <w:rFonts w:ascii="Times New Roman" w:hAnsi="Times New Roman" w:cs="Times New Roman"/>
        </w:rPr>
      </w:pPr>
      <w:r>
        <w:rPr>
          <w:rFonts w:ascii="Times New Roman" w:hAnsi="Times New Roman" w:cs="Times New Roman"/>
        </w:rPr>
        <w:t>Land use for the Diplomatic Precinct (Yarralumla, Deakin and O’Malley)</w:t>
      </w:r>
    </w:p>
    <w:p w:rsidR="00955BE8" w:rsidRDefault="00955BE8" w:rsidP="00AE2EB3">
      <w:pPr>
        <w:spacing w:after="120"/>
        <w:ind w:firstLine="360"/>
        <w:rPr>
          <w:rFonts w:cs="Times New Roman"/>
        </w:rPr>
      </w:pPr>
      <w:r>
        <w:rPr>
          <w:rFonts w:cs="Times New Roman"/>
        </w:rPr>
        <w:t>Substitute:</w:t>
      </w:r>
    </w:p>
    <w:p w:rsidR="00955BE8" w:rsidRPr="00955BE8" w:rsidRDefault="00955BE8" w:rsidP="00AE2EB3">
      <w:pPr>
        <w:pStyle w:val="ListParagraph"/>
        <w:numPr>
          <w:ilvl w:val="0"/>
          <w:numId w:val="26"/>
        </w:numPr>
        <w:spacing w:after="120"/>
        <w:contextualSpacing w:val="0"/>
        <w:rPr>
          <w:rFonts w:ascii="Times New Roman" w:hAnsi="Times New Roman" w:cs="Times New Roman"/>
        </w:rPr>
      </w:pPr>
      <w:r>
        <w:rPr>
          <w:rFonts w:ascii="Times New Roman" w:hAnsi="Times New Roman" w:cs="Times New Roman"/>
        </w:rPr>
        <w:t>Land use for the Diplomatic Precinct (Yarralumla, Deakin, O’Malley and Curtin)</w:t>
      </w:r>
    </w:p>
    <w:p w:rsidR="00955BE8" w:rsidRDefault="00955BE8" w:rsidP="00AE2EB3">
      <w:pPr>
        <w:pStyle w:val="ItemHead"/>
        <w:spacing w:after="120"/>
      </w:pPr>
      <w:r>
        <w:t>13  Section 4.14.4 Land use for the Diplomatic Precinct (Yarralumla, Deakin, O’Malley and Curtin)</w:t>
      </w:r>
    </w:p>
    <w:p w:rsidR="00955BE8" w:rsidRDefault="00955BE8" w:rsidP="00AE2EB3">
      <w:pPr>
        <w:spacing w:after="120"/>
        <w:ind w:firstLine="360"/>
        <w:rPr>
          <w:rFonts w:cs="Times New Roman"/>
        </w:rPr>
      </w:pPr>
      <w:r>
        <w:rPr>
          <w:rFonts w:cs="Times New Roman"/>
        </w:rPr>
        <w:t>Omit:</w:t>
      </w:r>
    </w:p>
    <w:p w:rsidR="00955BE8" w:rsidRPr="00591A4E" w:rsidRDefault="00955BE8" w:rsidP="00AE2EB3">
      <w:pPr>
        <w:pStyle w:val="ListParagraph"/>
        <w:numPr>
          <w:ilvl w:val="0"/>
          <w:numId w:val="26"/>
        </w:numPr>
        <w:spacing w:after="120"/>
        <w:contextualSpacing w:val="0"/>
        <w:rPr>
          <w:rFonts w:ascii="Times New Roman" w:hAnsi="Times New Roman" w:cs="Times New Roman"/>
        </w:rPr>
      </w:pPr>
      <w:r>
        <w:rPr>
          <w:rFonts w:ascii="Times New Roman" w:hAnsi="Times New Roman" w:cs="Times New Roman"/>
        </w:rPr>
        <w:t>Land use for the Diplomatic Precinct (Yarralumla, Deakin and O’Malley) should be in accordance with Figure 125, Figure 126 and Figure 127.</w:t>
      </w:r>
    </w:p>
    <w:p w:rsidR="00955BE8" w:rsidRDefault="00955BE8" w:rsidP="00AE2EB3">
      <w:pPr>
        <w:spacing w:after="120"/>
        <w:ind w:firstLine="360"/>
        <w:rPr>
          <w:rFonts w:cs="Times New Roman"/>
        </w:rPr>
      </w:pPr>
      <w:r>
        <w:rPr>
          <w:rFonts w:cs="Times New Roman"/>
        </w:rPr>
        <w:t>Substitute:</w:t>
      </w:r>
    </w:p>
    <w:p w:rsidR="006C02BF" w:rsidRPr="00955BE8" w:rsidRDefault="006C02BF" w:rsidP="00AE2EB3">
      <w:pPr>
        <w:pStyle w:val="ListParagraph"/>
        <w:numPr>
          <w:ilvl w:val="0"/>
          <w:numId w:val="26"/>
        </w:numPr>
        <w:spacing w:after="120"/>
        <w:contextualSpacing w:val="0"/>
        <w:rPr>
          <w:rFonts w:ascii="Times New Roman" w:hAnsi="Times New Roman" w:cs="Times New Roman"/>
        </w:rPr>
      </w:pPr>
      <w:r w:rsidRPr="00955BE8">
        <w:rPr>
          <w:rFonts w:ascii="Times New Roman" w:hAnsi="Times New Roman" w:cs="Times New Roman"/>
        </w:rPr>
        <w:t>Land use for the Diplomatic Precinct (Yarralumla, Deakin, O’Malley and Curtin) should be in accordance with Figure 125, Figure 126 and Figure 127.</w:t>
      </w:r>
    </w:p>
    <w:p w:rsidR="006C02BF" w:rsidRDefault="006C02BF" w:rsidP="00AE2EB3">
      <w:pPr>
        <w:spacing w:after="120"/>
        <w:ind w:left="1069"/>
        <w:rPr>
          <w:rFonts w:cs="Times New Roman"/>
        </w:rPr>
      </w:pPr>
      <w:r w:rsidRPr="00500761">
        <w:rPr>
          <w:rFonts w:cs="Times New Roman"/>
        </w:rPr>
        <w:t xml:space="preserve">‘Road’ is a permitted use within the Curtin diplomatic estate, the location of which is to be determined at the time of estate development planning. </w:t>
      </w:r>
    </w:p>
    <w:p w:rsidR="00500761" w:rsidRDefault="00955BE8" w:rsidP="00AE2EB3">
      <w:pPr>
        <w:pStyle w:val="ItemHead"/>
        <w:spacing w:after="120"/>
      </w:pPr>
      <w:r>
        <w:t>14  Section 4.14.4 Land use for the Diplomatic Precinct (Yarralumla, Deakin, O’Malley and Curtin)</w:t>
      </w:r>
    </w:p>
    <w:p w:rsidR="006C02BF" w:rsidRPr="00484DFD" w:rsidRDefault="00C51B2F" w:rsidP="00AE2EB3">
      <w:pPr>
        <w:spacing w:after="120"/>
        <w:ind w:left="709"/>
        <w:rPr>
          <w:rFonts w:cs="Times New Roman"/>
        </w:rPr>
      </w:pPr>
      <w:r w:rsidRPr="00484DFD">
        <w:rPr>
          <w:rFonts w:cs="Times New Roman"/>
        </w:rPr>
        <w:t>Repeal</w:t>
      </w:r>
      <w:r w:rsidR="006C02BF" w:rsidRPr="00484DFD">
        <w:rPr>
          <w:rFonts w:cs="Times New Roman"/>
        </w:rPr>
        <w:t xml:space="preserve"> Figure 124 ‘Land use for the Yarralumla and Deakin </w:t>
      </w:r>
      <w:r w:rsidRPr="00484DFD">
        <w:rPr>
          <w:rFonts w:cs="Times New Roman"/>
        </w:rPr>
        <w:t>Diplomatic Precinct’ and substitute</w:t>
      </w:r>
      <w:r w:rsidR="006C02BF" w:rsidRPr="00484DFD">
        <w:rPr>
          <w:rFonts w:cs="Times New Roman"/>
        </w:rPr>
        <w:t xml:space="preserve"> with the following:  </w:t>
      </w:r>
    </w:p>
    <w:p w:rsidR="006C02BF" w:rsidRDefault="000813CC" w:rsidP="00AE2EB3">
      <w:pPr>
        <w:spacing w:after="120"/>
        <w:jc w:val="center"/>
      </w:pPr>
      <w:r>
        <w:rPr>
          <w:noProof/>
          <w:lang w:eastAsia="en-AU"/>
        </w:rPr>
        <w:lastRenderedPageBreak/>
        <w:drawing>
          <wp:inline distT="0" distB="0" distL="0" distR="0">
            <wp:extent cx="5278755" cy="3736975"/>
            <wp:effectExtent l="0" t="0" r="0" b="0"/>
            <wp:docPr id="2" name="Picture 2" descr="Map showing permitted land uses within the North Curtin, Deakin and Yarralumla diplomatic enclaves." title="Diplomatic Precinct land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DC_PrecinctCode - August 202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8755" cy="3736975"/>
                    </a:xfrm>
                    <a:prstGeom prst="rect">
                      <a:avLst/>
                    </a:prstGeom>
                  </pic:spPr>
                </pic:pic>
              </a:graphicData>
            </a:graphic>
          </wp:inline>
        </w:drawing>
      </w:r>
      <w:bookmarkStart w:id="8" w:name="_GoBack"/>
      <w:bookmarkEnd w:id="8"/>
    </w:p>
    <w:p w:rsidR="00955BE8" w:rsidRDefault="00955BE8" w:rsidP="00AE2EB3">
      <w:pPr>
        <w:pStyle w:val="ItemHead"/>
        <w:spacing w:after="120"/>
      </w:pPr>
      <w:r>
        <w:t>15  Section 4.14.4 Land use for the Diplomatic Precinct (Yarralumla, Deakin, O’Malley and Curtin)</w:t>
      </w:r>
    </w:p>
    <w:p w:rsidR="00484DFD" w:rsidRDefault="00484DFD" w:rsidP="00AE2EB3">
      <w:pPr>
        <w:spacing w:after="120"/>
        <w:ind w:firstLine="360"/>
        <w:rPr>
          <w:rFonts w:cs="Times New Roman"/>
        </w:rPr>
      </w:pPr>
      <w:r>
        <w:rPr>
          <w:rFonts w:cs="Times New Roman"/>
        </w:rPr>
        <w:t>Omit:</w:t>
      </w:r>
    </w:p>
    <w:p w:rsidR="00484DFD" w:rsidRPr="00591A4E" w:rsidRDefault="00484DFD" w:rsidP="00AE2EB3">
      <w:pPr>
        <w:pStyle w:val="ListParagraph"/>
        <w:numPr>
          <w:ilvl w:val="0"/>
          <w:numId w:val="26"/>
        </w:numPr>
        <w:spacing w:after="120"/>
        <w:contextualSpacing w:val="0"/>
        <w:rPr>
          <w:rFonts w:ascii="Times New Roman" w:hAnsi="Times New Roman" w:cs="Times New Roman"/>
        </w:rPr>
      </w:pPr>
      <w:r>
        <w:rPr>
          <w:rFonts w:ascii="Times New Roman" w:hAnsi="Times New Roman" w:cs="Times New Roman"/>
        </w:rPr>
        <w:t>Figure 124: Land use for the Yarralumla and Deakin Diplomatic Precinct</w:t>
      </w:r>
    </w:p>
    <w:p w:rsidR="00484DFD" w:rsidRDefault="00484DFD" w:rsidP="00AE2EB3">
      <w:pPr>
        <w:spacing w:after="120"/>
        <w:ind w:firstLine="360"/>
        <w:rPr>
          <w:rFonts w:cs="Times New Roman"/>
        </w:rPr>
      </w:pPr>
      <w:r>
        <w:rPr>
          <w:rFonts w:cs="Times New Roman"/>
        </w:rPr>
        <w:t>Substitute:</w:t>
      </w:r>
    </w:p>
    <w:p w:rsidR="00484DFD" w:rsidRPr="00484DFD" w:rsidRDefault="00484DFD" w:rsidP="00AE2EB3">
      <w:pPr>
        <w:pStyle w:val="ListParagraph"/>
        <w:numPr>
          <w:ilvl w:val="0"/>
          <w:numId w:val="26"/>
        </w:numPr>
        <w:spacing w:after="120"/>
        <w:contextualSpacing w:val="0"/>
        <w:rPr>
          <w:rFonts w:ascii="Times New Roman" w:hAnsi="Times New Roman" w:cs="Times New Roman"/>
        </w:rPr>
      </w:pPr>
      <w:r>
        <w:rPr>
          <w:rFonts w:ascii="Times New Roman" w:hAnsi="Times New Roman" w:cs="Times New Roman"/>
        </w:rPr>
        <w:t>Figure 124: Land use for the Yarralumla, Deakin and Curtin Diplomatic Precinct</w:t>
      </w:r>
    </w:p>
    <w:p w:rsidR="001B6687" w:rsidRPr="00AE2EB3" w:rsidRDefault="003E1BFE" w:rsidP="00AE2EB3">
      <w:pPr>
        <w:pStyle w:val="ItemHead"/>
        <w:spacing w:after="120"/>
        <w:rPr>
          <w:rFonts w:cs="Arial"/>
          <w:szCs w:val="24"/>
        </w:rPr>
      </w:pPr>
      <w:r>
        <w:t>1</w:t>
      </w:r>
      <w:r w:rsidR="00484DFD">
        <w:t>6</w:t>
      </w:r>
      <w:r>
        <w:t xml:space="preserve">  Section 4.14</w:t>
      </w:r>
      <w:r w:rsidRPr="003E1BFE">
        <w:rPr>
          <w:rFonts w:cs="Arial"/>
          <w:szCs w:val="24"/>
        </w:rPr>
        <w:t>.5 Detailed conditions of planning, design and development for the Diplomatic Precinct (Yarralumla, Deakin, O’Malley and Curtin)</w:t>
      </w:r>
    </w:p>
    <w:p w:rsidR="001B6687" w:rsidRDefault="001B6687" w:rsidP="00AE2EB3">
      <w:pPr>
        <w:spacing w:after="120"/>
        <w:ind w:firstLine="360"/>
        <w:rPr>
          <w:rFonts w:cs="Times New Roman"/>
        </w:rPr>
      </w:pPr>
      <w:r>
        <w:rPr>
          <w:rFonts w:cs="Times New Roman"/>
        </w:rPr>
        <w:t>Omit:</w:t>
      </w:r>
    </w:p>
    <w:p w:rsidR="001B6687" w:rsidRPr="001B6687" w:rsidRDefault="001B6687" w:rsidP="00AE2EB3">
      <w:pPr>
        <w:pStyle w:val="NormalWeb"/>
        <w:numPr>
          <w:ilvl w:val="0"/>
          <w:numId w:val="26"/>
        </w:numPr>
        <w:shd w:val="clear" w:color="auto" w:fill="FEFEFE"/>
        <w:spacing w:before="0" w:beforeAutospacing="0" w:after="120" w:afterAutospacing="0"/>
        <w:rPr>
          <w:color w:val="1A2023"/>
          <w:sz w:val="22"/>
          <w:szCs w:val="22"/>
        </w:rPr>
      </w:pPr>
      <w:r w:rsidRPr="001B6687">
        <w:rPr>
          <w:color w:val="1A2023"/>
          <w:sz w:val="22"/>
          <w:szCs w:val="22"/>
        </w:rPr>
        <w:t>Large bulky building form is to be avoided. The building by its form should follow the slope of the land, rather than contrasting with it.</w:t>
      </w:r>
    </w:p>
    <w:p w:rsidR="001B6687" w:rsidRPr="001B6687" w:rsidRDefault="001B6687" w:rsidP="00AE2EB3">
      <w:pPr>
        <w:pStyle w:val="NormalWeb"/>
        <w:shd w:val="clear" w:color="auto" w:fill="FEFEFE"/>
        <w:spacing w:before="0" w:beforeAutospacing="0" w:after="120" w:afterAutospacing="0"/>
        <w:ind w:left="1080"/>
        <w:rPr>
          <w:color w:val="1A2023"/>
          <w:sz w:val="22"/>
          <w:szCs w:val="22"/>
        </w:rPr>
      </w:pPr>
      <w:r w:rsidRPr="001B6687">
        <w:rPr>
          <w:color w:val="1A2023"/>
          <w:sz w:val="22"/>
          <w:szCs w:val="22"/>
        </w:rPr>
        <w:t>The height of any building should not exceed two storeys above natural ground level.</w:t>
      </w:r>
    </w:p>
    <w:p w:rsidR="001B6687" w:rsidRPr="001B6687" w:rsidRDefault="001B6687" w:rsidP="00AE2EB3">
      <w:pPr>
        <w:pStyle w:val="NormalWeb"/>
        <w:shd w:val="clear" w:color="auto" w:fill="FEFEFE"/>
        <w:spacing w:before="0" w:beforeAutospacing="0" w:after="120" w:afterAutospacing="0"/>
        <w:ind w:left="1080"/>
        <w:rPr>
          <w:color w:val="1A2023"/>
          <w:sz w:val="22"/>
          <w:szCs w:val="22"/>
        </w:rPr>
      </w:pPr>
      <w:r w:rsidRPr="001B6687">
        <w:rPr>
          <w:color w:val="1A2023"/>
          <w:sz w:val="22"/>
          <w:szCs w:val="22"/>
        </w:rPr>
        <w:t>The plot ratio should not exceed 0.35.</w:t>
      </w:r>
    </w:p>
    <w:p w:rsidR="001B6687" w:rsidRPr="001B6687" w:rsidRDefault="001B6687" w:rsidP="00AE2EB3">
      <w:pPr>
        <w:pStyle w:val="NormalWeb"/>
        <w:shd w:val="clear" w:color="auto" w:fill="FEFEFE"/>
        <w:spacing w:before="0" w:beforeAutospacing="0" w:after="120" w:afterAutospacing="0"/>
        <w:ind w:left="1080"/>
        <w:rPr>
          <w:color w:val="1A2023"/>
          <w:sz w:val="22"/>
          <w:szCs w:val="22"/>
        </w:rPr>
      </w:pPr>
      <w:r w:rsidRPr="001B6687">
        <w:rPr>
          <w:color w:val="1A2023"/>
          <w:sz w:val="22"/>
          <w:szCs w:val="22"/>
        </w:rPr>
        <w:t>Externally exposed plumbing and mechanical plant including duct work will not be permitted. All mechanical plant and equipment should be contained within buildings or service yards and should be suitably screened from public view.</w:t>
      </w:r>
    </w:p>
    <w:p w:rsidR="001B6687" w:rsidRPr="001B6687" w:rsidRDefault="001B6687" w:rsidP="00AE2EB3">
      <w:pPr>
        <w:pStyle w:val="NormalWeb"/>
        <w:shd w:val="clear" w:color="auto" w:fill="FEFEFE"/>
        <w:spacing w:before="0" w:beforeAutospacing="0" w:after="120" w:afterAutospacing="0"/>
        <w:ind w:left="1080"/>
        <w:rPr>
          <w:color w:val="1A2023"/>
          <w:sz w:val="22"/>
          <w:szCs w:val="22"/>
        </w:rPr>
      </w:pPr>
      <w:r w:rsidRPr="001B6687">
        <w:rPr>
          <w:color w:val="1A2023"/>
          <w:sz w:val="22"/>
          <w:szCs w:val="22"/>
        </w:rPr>
        <w:t>The design, material and colour of building roofs are of particular importance and should be sympathetic with that of surrounding development.</w:t>
      </w:r>
    </w:p>
    <w:p w:rsidR="001B6687" w:rsidRDefault="001B6687" w:rsidP="00AE2EB3">
      <w:pPr>
        <w:spacing w:after="120"/>
        <w:ind w:firstLine="360"/>
        <w:rPr>
          <w:rFonts w:cs="Times New Roman"/>
        </w:rPr>
      </w:pPr>
      <w:r>
        <w:rPr>
          <w:rFonts w:cs="Times New Roman"/>
        </w:rPr>
        <w:lastRenderedPageBreak/>
        <w:t>Substitute:</w:t>
      </w:r>
    </w:p>
    <w:p w:rsidR="001B6687" w:rsidRPr="00AE2EB3" w:rsidRDefault="00840367" w:rsidP="00AE2EB3">
      <w:pPr>
        <w:pStyle w:val="ListParagraph"/>
        <w:numPr>
          <w:ilvl w:val="0"/>
          <w:numId w:val="26"/>
        </w:numPr>
        <w:spacing w:after="120"/>
        <w:contextualSpacing w:val="0"/>
        <w:rPr>
          <w:rFonts w:ascii="Times New Roman" w:hAnsi="Times New Roman" w:cs="Times New Roman"/>
        </w:rPr>
      </w:pPr>
      <w:r w:rsidRPr="001B6687">
        <w:rPr>
          <w:rFonts w:ascii="Times New Roman" w:hAnsi="Times New Roman" w:cs="Times New Roman"/>
        </w:rPr>
        <w:t>Large bulky building form is to be avoided. The building by its form should follow the slope of the land, rather than contrasting with it.</w:t>
      </w:r>
    </w:p>
    <w:p w:rsidR="00840367" w:rsidRPr="00840367" w:rsidRDefault="00840367" w:rsidP="00AE2EB3">
      <w:pPr>
        <w:pStyle w:val="ListParagraph"/>
        <w:spacing w:after="120" w:line="220" w:lineRule="atLeast"/>
        <w:ind w:left="1069"/>
        <w:contextualSpacing w:val="0"/>
        <w:rPr>
          <w:rFonts w:ascii="Times New Roman" w:hAnsi="Times New Roman" w:cs="Times New Roman"/>
        </w:rPr>
      </w:pPr>
      <w:r w:rsidRPr="00840367">
        <w:rPr>
          <w:rFonts w:ascii="Times New Roman" w:hAnsi="Times New Roman" w:cs="Times New Roman"/>
        </w:rPr>
        <w:t>The height of any building should not exceed three storeys above natural ground level.</w:t>
      </w:r>
    </w:p>
    <w:p w:rsidR="00840367" w:rsidRPr="00840367" w:rsidRDefault="00840367" w:rsidP="00AE2EB3">
      <w:pPr>
        <w:pStyle w:val="ListParagraph"/>
        <w:spacing w:after="120" w:line="220" w:lineRule="atLeast"/>
        <w:ind w:left="1069"/>
        <w:contextualSpacing w:val="0"/>
        <w:rPr>
          <w:rFonts w:ascii="Times New Roman" w:hAnsi="Times New Roman" w:cs="Times New Roman"/>
        </w:rPr>
      </w:pPr>
      <w:r w:rsidRPr="00840367">
        <w:rPr>
          <w:rFonts w:ascii="Times New Roman" w:hAnsi="Times New Roman" w:cs="Times New Roman"/>
        </w:rPr>
        <w:t xml:space="preserve">Basements are permitted in addition to the number of storeys above natural ground level. Basements must be predominantly below natural ground level. Where the finished floor level of the storey immediately above the basement is greater than one metre above natural ground level, a basement will be considered a storey above natural ground level. </w:t>
      </w:r>
    </w:p>
    <w:p w:rsidR="00840367" w:rsidRPr="00840367" w:rsidRDefault="00840367" w:rsidP="00AE2EB3">
      <w:pPr>
        <w:pStyle w:val="ListParagraph"/>
        <w:spacing w:after="120" w:line="220" w:lineRule="atLeast"/>
        <w:ind w:left="1069"/>
        <w:contextualSpacing w:val="0"/>
        <w:rPr>
          <w:rFonts w:ascii="Times New Roman" w:hAnsi="Times New Roman" w:cs="Times New Roman"/>
          <w:shd w:val="clear" w:color="auto" w:fill="FEFEFE"/>
        </w:rPr>
      </w:pPr>
      <w:r w:rsidRPr="00840367">
        <w:rPr>
          <w:rFonts w:ascii="Times New Roman" w:hAnsi="Times New Roman" w:cs="Times New Roman"/>
          <w:shd w:val="clear" w:color="auto" w:fill="FEFEFE"/>
        </w:rPr>
        <w:t xml:space="preserve">Plant and equipment should be contained within the roof form, in basements, or otherwise incorporated into building design and screened from view. Minor building elements for roof top plant are permitted where they do not increase the building height as it presents to public street frontages or other public places. Solar panels on roofs are permitted. </w:t>
      </w:r>
    </w:p>
    <w:p w:rsidR="00840367" w:rsidRPr="00840367" w:rsidRDefault="00840367" w:rsidP="00AE2EB3">
      <w:pPr>
        <w:pStyle w:val="ListParagraph"/>
        <w:spacing w:after="120" w:line="220" w:lineRule="atLeast"/>
        <w:ind w:left="1069"/>
        <w:contextualSpacing w:val="0"/>
        <w:rPr>
          <w:rFonts w:ascii="Times New Roman" w:hAnsi="Times New Roman" w:cs="Times New Roman"/>
          <w:shd w:val="clear" w:color="auto" w:fill="FEFEFE"/>
        </w:rPr>
      </w:pPr>
      <w:r w:rsidRPr="00840367">
        <w:rPr>
          <w:rFonts w:ascii="Times New Roman" w:hAnsi="Times New Roman" w:cs="Times New Roman"/>
          <w:shd w:val="clear" w:color="auto" w:fill="FEFEFE"/>
        </w:rPr>
        <w:t xml:space="preserve">Buildings must be setback a minimum of 10 metres from street frontages. Side and rear setbacks are to be in accordance with Conditions of Lease and Development. With the exception of buildings associated with security measures, such as guard houses, all buildings must be set back in accordance with the above.  </w:t>
      </w:r>
    </w:p>
    <w:p w:rsidR="00840367" w:rsidRPr="00840367" w:rsidRDefault="00840367" w:rsidP="00AE2EB3">
      <w:pPr>
        <w:pStyle w:val="NormalWeb"/>
        <w:shd w:val="clear" w:color="auto" w:fill="FEFEFE"/>
        <w:spacing w:before="0" w:beforeAutospacing="0" w:after="120" w:afterAutospacing="0"/>
        <w:ind w:left="1069"/>
        <w:rPr>
          <w:sz w:val="22"/>
          <w:szCs w:val="22"/>
        </w:rPr>
      </w:pPr>
      <w:r w:rsidRPr="00840367">
        <w:rPr>
          <w:sz w:val="22"/>
          <w:szCs w:val="22"/>
        </w:rPr>
        <w:t>The plot ratio should not exceed 0.35.</w:t>
      </w:r>
    </w:p>
    <w:p w:rsidR="00840367" w:rsidRPr="00840367" w:rsidRDefault="00840367" w:rsidP="00AE2EB3">
      <w:pPr>
        <w:pStyle w:val="NormalWeb"/>
        <w:shd w:val="clear" w:color="auto" w:fill="FEFEFE"/>
        <w:spacing w:before="0" w:beforeAutospacing="0" w:after="120" w:afterAutospacing="0"/>
        <w:ind w:left="1069"/>
        <w:rPr>
          <w:sz w:val="22"/>
          <w:szCs w:val="22"/>
        </w:rPr>
      </w:pPr>
      <w:r w:rsidRPr="00840367">
        <w:rPr>
          <w:sz w:val="22"/>
          <w:szCs w:val="22"/>
        </w:rPr>
        <w:t>Externally exposed plumbing and mechanical plant including duct work will not be permitted. All mechanical plant and equipment should be contained within buildings or service yards and should be suitably screened from public view.</w:t>
      </w:r>
    </w:p>
    <w:p w:rsidR="006C02BF" w:rsidRDefault="00840367" w:rsidP="00AE2EB3">
      <w:pPr>
        <w:pStyle w:val="NormalWeb"/>
        <w:shd w:val="clear" w:color="auto" w:fill="FEFEFE"/>
        <w:spacing w:before="0" w:beforeAutospacing="0" w:after="120" w:afterAutospacing="0"/>
        <w:ind w:left="1069"/>
        <w:rPr>
          <w:sz w:val="22"/>
          <w:szCs w:val="22"/>
        </w:rPr>
      </w:pPr>
      <w:r w:rsidRPr="00840367">
        <w:rPr>
          <w:sz w:val="22"/>
          <w:szCs w:val="22"/>
        </w:rPr>
        <w:t>The design, material and colour of building roofs are of particular importance and should be sympathetic with that of surrounding development.</w:t>
      </w:r>
    </w:p>
    <w:p w:rsidR="001B6687" w:rsidRPr="00AE2EB3" w:rsidRDefault="00484DFD" w:rsidP="00AE2EB3">
      <w:pPr>
        <w:pStyle w:val="ItemHead"/>
        <w:spacing w:after="120"/>
        <w:rPr>
          <w:rFonts w:cs="Arial"/>
          <w:szCs w:val="24"/>
        </w:rPr>
      </w:pPr>
      <w:r>
        <w:t>17  Section 4.14</w:t>
      </w:r>
      <w:r w:rsidRPr="003E1BFE">
        <w:rPr>
          <w:rFonts w:cs="Arial"/>
          <w:szCs w:val="24"/>
        </w:rPr>
        <w:t>.5 Detailed conditions of planning, design and development for the Diplomatic Precinct (Yarralumla, Deakin, O’Malley and Curtin)</w:t>
      </w:r>
    </w:p>
    <w:p w:rsidR="001B6687" w:rsidRDefault="001B6687" w:rsidP="00AE2EB3">
      <w:pPr>
        <w:spacing w:after="120"/>
        <w:ind w:firstLine="360"/>
        <w:rPr>
          <w:rFonts w:cs="Times New Roman"/>
        </w:rPr>
      </w:pPr>
      <w:r>
        <w:rPr>
          <w:rFonts w:cs="Times New Roman"/>
        </w:rPr>
        <w:t>Omit:</w:t>
      </w:r>
    </w:p>
    <w:p w:rsidR="001B6687" w:rsidRPr="001B6687" w:rsidRDefault="001B6687" w:rsidP="00AE2EB3">
      <w:pPr>
        <w:pStyle w:val="NormalWeb"/>
        <w:numPr>
          <w:ilvl w:val="0"/>
          <w:numId w:val="26"/>
        </w:numPr>
        <w:shd w:val="clear" w:color="auto" w:fill="FEFEFE"/>
        <w:spacing w:before="0" w:beforeAutospacing="0" w:after="120" w:afterAutospacing="0"/>
        <w:rPr>
          <w:color w:val="1A2023"/>
          <w:sz w:val="22"/>
          <w:szCs w:val="22"/>
        </w:rPr>
      </w:pPr>
      <w:r w:rsidRPr="001B6687">
        <w:rPr>
          <w:color w:val="1A2023"/>
          <w:sz w:val="22"/>
          <w:szCs w:val="22"/>
        </w:rPr>
        <w:t>Landscape design for individual blocks should seek to enhance the visual quality of the area and integrate the building with its landscape setting.</w:t>
      </w:r>
    </w:p>
    <w:p w:rsidR="001B6687" w:rsidRPr="001B6687" w:rsidRDefault="001B6687" w:rsidP="00AE2EB3">
      <w:pPr>
        <w:pStyle w:val="NormalWeb"/>
        <w:shd w:val="clear" w:color="auto" w:fill="FEFEFE"/>
        <w:spacing w:before="0" w:beforeAutospacing="0" w:after="120" w:afterAutospacing="0"/>
        <w:ind w:left="1080"/>
        <w:rPr>
          <w:color w:val="1A2023"/>
          <w:sz w:val="22"/>
          <w:szCs w:val="22"/>
        </w:rPr>
      </w:pPr>
      <w:r w:rsidRPr="001B6687">
        <w:rPr>
          <w:color w:val="1A2023"/>
          <w:sz w:val="22"/>
          <w:szCs w:val="22"/>
        </w:rPr>
        <w:t>Landscaping should only be carried out in accordance with a Landscape Plan approved by the National Capital Authority.</w:t>
      </w:r>
    </w:p>
    <w:p w:rsidR="006C02BF" w:rsidRPr="00AE2EB3" w:rsidRDefault="001B6687" w:rsidP="00AE2EB3">
      <w:pPr>
        <w:spacing w:after="120"/>
        <w:ind w:firstLine="360"/>
        <w:rPr>
          <w:rFonts w:cs="Times New Roman"/>
        </w:rPr>
      </w:pPr>
      <w:r>
        <w:rPr>
          <w:rFonts w:cs="Times New Roman"/>
        </w:rPr>
        <w:t>Substitute:</w:t>
      </w:r>
    </w:p>
    <w:p w:rsidR="00840367" w:rsidRPr="001B6687" w:rsidRDefault="00840367" w:rsidP="00AE2EB3">
      <w:pPr>
        <w:pStyle w:val="ListParagraph"/>
        <w:numPr>
          <w:ilvl w:val="0"/>
          <w:numId w:val="21"/>
        </w:numPr>
        <w:spacing w:after="120"/>
        <w:contextualSpacing w:val="0"/>
        <w:rPr>
          <w:rFonts w:ascii="Times New Roman" w:hAnsi="Times New Roman" w:cs="Times New Roman"/>
        </w:rPr>
      </w:pPr>
      <w:r w:rsidRPr="001B6687">
        <w:rPr>
          <w:rFonts w:ascii="Times New Roman" w:hAnsi="Times New Roman" w:cs="Times New Roman"/>
          <w:color w:val="1A2023"/>
          <w:lang w:eastAsia="en-AU"/>
        </w:rPr>
        <w:t xml:space="preserve">Landscape design for individual blocks should seek to enhance the visual quality of the area and integrate the building with its landscape setting. </w:t>
      </w:r>
    </w:p>
    <w:p w:rsidR="00840367" w:rsidRPr="00840367" w:rsidRDefault="00840367" w:rsidP="00AE2EB3">
      <w:pPr>
        <w:shd w:val="clear" w:color="auto" w:fill="FEFEFE"/>
        <w:spacing w:after="120" w:line="220" w:lineRule="atLeast"/>
        <w:ind w:left="1069"/>
        <w:rPr>
          <w:rFonts w:cs="Times New Roman"/>
          <w:color w:val="1A2023"/>
          <w:lang w:eastAsia="en-AU"/>
        </w:rPr>
      </w:pPr>
      <w:r w:rsidRPr="00840367">
        <w:rPr>
          <w:rFonts w:cs="Times New Roman"/>
          <w:color w:val="000000"/>
        </w:rPr>
        <w:t xml:space="preserve">Not less than 40% of total site area should be for soft planting area. Soft planting area means an area of permeable land within a block covered by trees, grass or lawn (not including synthetic turf), garden bed, shrubs (including hedges) and the like. Soft planting area does not include any area covered by buildings (including </w:t>
      </w:r>
      <w:r w:rsidRPr="00840367">
        <w:rPr>
          <w:rFonts w:cs="Times New Roman"/>
          <w:color w:val="000000"/>
        </w:rPr>
        <w:lastRenderedPageBreak/>
        <w:t xml:space="preserve">basement), swimming pools, vehicle parking or manoeuvring areas (whether permeable or not), or any other form of impermeable surface. </w:t>
      </w:r>
    </w:p>
    <w:p w:rsidR="00840367" w:rsidRPr="00F17851" w:rsidRDefault="00F17851" w:rsidP="00AE2EB3">
      <w:pPr>
        <w:shd w:val="clear" w:color="auto" w:fill="FEFEFE"/>
        <w:spacing w:after="120" w:line="220" w:lineRule="atLeast"/>
        <w:ind w:left="1069"/>
        <w:rPr>
          <w:rFonts w:cs="Times New Roman"/>
          <w:color w:val="1A2023"/>
          <w:lang w:eastAsia="en-AU"/>
        </w:rPr>
      </w:pPr>
      <w:r>
        <w:rPr>
          <w:rFonts w:cs="Times New Roman"/>
          <w:color w:val="1A2023"/>
          <w:lang w:eastAsia="en-AU"/>
        </w:rPr>
        <w:t>M</w:t>
      </w:r>
      <w:r w:rsidR="00840367" w:rsidRPr="00840367">
        <w:rPr>
          <w:rFonts w:cs="Times New Roman"/>
          <w:color w:val="1A2023"/>
          <w:lang w:eastAsia="en-AU"/>
        </w:rPr>
        <w:t xml:space="preserve">ature trees should be retained </w:t>
      </w:r>
      <w:r>
        <w:rPr>
          <w:rFonts w:cs="Times New Roman"/>
          <w:color w:val="1A2023"/>
          <w:lang w:eastAsia="en-AU"/>
        </w:rPr>
        <w:t xml:space="preserve">to the maximum extent possible </w:t>
      </w:r>
      <w:r w:rsidR="00840367" w:rsidRPr="00840367">
        <w:rPr>
          <w:rFonts w:cs="Times New Roman"/>
          <w:color w:val="1A2023"/>
          <w:lang w:eastAsia="en-AU"/>
        </w:rPr>
        <w:t xml:space="preserve">and integrated into landscape design. </w:t>
      </w:r>
      <w:r>
        <w:rPr>
          <w:rFonts w:cs="Times New Roman"/>
          <w:color w:val="1A2023"/>
          <w:lang w:eastAsia="en-AU"/>
        </w:rPr>
        <w:t xml:space="preserve">Where </w:t>
      </w:r>
      <w:r w:rsidR="00840367" w:rsidRPr="00840367">
        <w:rPr>
          <w:rFonts w:cs="Times New Roman"/>
          <w:color w:val="1A2023"/>
          <w:lang w:eastAsia="en-AU"/>
        </w:rPr>
        <w:t>tree removal</w:t>
      </w:r>
      <w:r>
        <w:rPr>
          <w:rFonts w:cs="Times New Roman"/>
          <w:color w:val="1A2023"/>
          <w:lang w:eastAsia="en-AU"/>
        </w:rPr>
        <w:t xml:space="preserve"> occurs, this</w:t>
      </w:r>
      <w:r w:rsidR="00840367" w:rsidRPr="00840367">
        <w:rPr>
          <w:rFonts w:cs="Times New Roman"/>
          <w:color w:val="1A2023"/>
          <w:lang w:eastAsia="en-AU"/>
        </w:rPr>
        <w:t xml:space="preserve"> must be compensated for by planting elsewhere on site.</w:t>
      </w:r>
    </w:p>
    <w:p w:rsidR="00840367" w:rsidRPr="00840367" w:rsidRDefault="00840367" w:rsidP="00AE2EB3">
      <w:pPr>
        <w:shd w:val="clear" w:color="auto" w:fill="FEFEFE"/>
        <w:spacing w:after="120" w:line="220" w:lineRule="atLeast"/>
        <w:ind w:left="1069"/>
        <w:rPr>
          <w:rFonts w:cs="Times New Roman"/>
          <w:color w:val="1A2023"/>
          <w:lang w:eastAsia="en-AU"/>
        </w:rPr>
      </w:pPr>
      <w:r w:rsidRPr="00840367">
        <w:rPr>
          <w:rFonts w:cs="Times New Roman"/>
          <w:color w:val="000000"/>
        </w:rPr>
        <w:t>A Tree Management Plan is to accompany landscape plans, outlining tree protection measures during construction activity for existing trees proposed for retention.</w:t>
      </w:r>
      <w:r w:rsidRPr="00840367">
        <w:rPr>
          <w:rFonts w:cs="Times New Roman"/>
          <w:color w:val="1A2023"/>
          <w:lang w:eastAsia="en-AU"/>
        </w:rPr>
        <w:t xml:space="preserve"> </w:t>
      </w:r>
    </w:p>
    <w:p w:rsidR="00B53205" w:rsidRPr="00AE2EB3" w:rsidRDefault="00840367" w:rsidP="00AE2EB3">
      <w:pPr>
        <w:pStyle w:val="ListParagraph"/>
        <w:shd w:val="clear" w:color="auto" w:fill="FEFEFE"/>
        <w:spacing w:after="120" w:line="220" w:lineRule="atLeast"/>
        <w:ind w:left="1069"/>
        <w:contextualSpacing w:val="0"/>
        <w:rPr>
          <w:rFonts w:ascii="Times New Roman" w:hAnsi="Times New Roman" w:cs="Times New Roman"/>
          <w:lang w:eastAsia="en-AU"/>
        </w:rPr>
      </w:pPr>
      <w:r w:rsidRPr="00840367">
        <w:rPr>
          <w:rFonts w:ascii="Times New Roman" w:hAnsi="Times New Roman" w:cs="Times New Roman"/>
          <w:lang w:eastAsia="en-AU"/>
        </w:rPr>
        <w:t>Landscape design must enhance environmental performance and microclimate. This could be achieved by planting appropriate trees near eastern and western façades for shade, planting a mix of evergreen and deciduous trees to provide shade in summer and allow sunlight access in winter, and incorporating green walls and roofs into building design.</w:t>
      </w:r>
    </w:p>
    <w:p w:rsidR="00840367" w:rsidRDefault="00840367" w:rsidP="00AE2EB3">
      <w:pPr>
        <w:pStyle w:val="ListParagraph"/>
        <w:shd w:val="clear" w:color="auto" w:fill="FEFEFE"/>
        <w:spacing w:after="120" w:line="220" w:lineRule="atLeast"/>
        <w:ind w:left="1069"/>
        <w:contextualSpacing w:val="0"/>
        <w:rPr>
          <w:rFonts w:ascii="Times New Roman" w:hAnsi="Times New Roman" w:cs="Times New Roman"/>
          <w:lang w:eastAsia="en-AU"/>
        </w:rPr>
      </w:pPr>
      <w:r w:rsidRPr="00B53205">
        <w:rPr>
          <w:rFonts w:ascii="Times New Roman" w:hAnsi="Times New Roman" w:cs="Times New Roman"/>
          <w:lang w:eastAsia="en-AU"/>
        </w:rPr>
        <w:t>Landscaping must only be carried out in accordance with a Landscape Plan approved by the National Capital Authority.</w:t>
      </w:r>
    </w:p>
    <w:p w:rsidR="00342914" w:rsidRPr="00AE2EB3" w:rsidRDefault="00484DFD" w:rsidP="00AE2EB3">
      <w:pPr>
        <w:pStyle w:val="ItemHead"/>
        <w:spacing w:after="120"/>
        <w:rPr>
          <w:rFonts w:cs="Arial"/>
          <w:szCs w:val="24"/>
        </w:rPr>
      </w:pPr>
      <w:r>
        <w:t>18  Section 4.14</w:t>
      </w:r>
      <w:r w:rsidRPr="003E1BFE">
        <w:rPr>
          <w:rFonts w:cs="Arial"/>
          <w:szCs w:val="24"/>
        </w:rPr>
        <w:t>.5 Detailed conditions of planning, design and development for the Diplomatic Precinct (Yarralumla, Deakin, O’Malley and Curtin)</w:t>
      </w:r>
    </w:p>
    <w:p w:rsidR="00342914" w:rsidRDefault="00342914" w:rsidP="00AE2EB3">
      <w:pPr>
        <w:spacing w:after="120"/>
        <w:ind w:firstLine="360"/>
        <w:rPr>
          <w:rFonts w:cs="Times New Roman"/>
        </w:rPr>
      </w:pPr>
      <w:r>
        <w:rPr>
          <w:rFonts w:cs="Times New Roman"/>
        </w:rPr>
        <w:t>Omit:</w:t>
      </w:r>
    </w:p>
    <w:p w:rsidR="00342914" w:rsidRPr="00342914" w:rsidRDefault="00342914" w:rsidP="00AE2EB3">
      <w:pPr>
        <w:pStyle w:val="NormalWeb"/>
        <w:numPr>
          <w:ilvl w:val="0"/>
          <w:numId w:val="21"/>
        </w:numPr>
        <w:shd w:val="clear" w:color="auto" w:fill="FEFEFE"/>
        <w:spacing w:before="0" w:beforeAutospacing="0" w:after="120" w:afterAutospacing="0"/>
        <w:rPr>
          <w:color w:val="1A2023"/>
          <w:sz w:val="22"/>
          <w:szCs w:val="22"/>
        </w:rPr>
      </w:pPr>
      <w:r w:rsidRPr="00342914">
        <w:rPr>
          <w:color w:val="1A2023"/>
          <w:sz w:val="22"/>
          <w:szCs w:val="22"/>
        </w:rPr>
        <w:t>All car parking for staff and visitors should be accommodated wholly within the site.</w:t>
      </w:r>
    </w:p>
    <w:p w:rsidR="00342914" w:rsidRPr="00342914" w:rsidRDefault="00342914" w:rsidP="00AE2EB3">
      <w:pPr>
        <w:pStyle w:val="NormalWeb"/>
        <w:shd w:val="clear" w:color="auto" w:fill="FEFEFE"/>
        <w:spacing w:before="0" w:beforeAutospacing="0" w:after="120" w:afterAutospacing="0"/>
        <w:ind w:left="1069"/>
        <w:rPr>
          <w:color w:val="1A2023"/>
          <w:sz w:val="22"/>
          <w:szCs w:val="22"/>
        </w:rPr>
      </w:pPr>
      <w:r w:rsidRPr="00342914">
        <w:rPr>
          <w:color w:val="1A2023"/>
          <w:sz w:val="22"/>
          <w:szCs w:val="22"/>
        </w:rPr>
        <w:t>Car parking areas should be landscaped to minimise their visual impact. The layout of proposed parking areas should be included in the Landscape Plan.</w:t>
      </w:r>
    </w:p>
    <w:p w:rsidR="00342914" w:rsidRPr="00AE2EB3" w:rsidRDefault="00342914" w:rsidP="00AE2EB3">
      <w:pPr>
        <w:pStyle w:val="NormalWeb"/>
        <w:shd w:val="clear" w:color="auto" w:fill="FEFEFE"/>
        <w:spacing w:before="0" w:beforeAutospacing="0" w:after="120" w:afterAutospacing="0"/>
        <w:ind w:left="1069"/>
        <w:rPr>
          <w:color w:val="1A2023"/>
          <w:sz w:val="22"/>
          <w:szCs w:val="22"/>
        </w:rPr>
      </w:pPr>
      <w:r w:rsidRPr="00342914">
        <w:rPr>
          <w:color w:val="1A2023"/>
          <w:sz w:val="22"/>
          <w:szCs w:val="22"/>
        </w:rPr>
        <w:t>Garages and car ports will not be permitted forward of the building lines established along the frontage of individual blocks. All covered vehicle parking must be consistent in character with the architectural style of the main building, matching materials and finishes.</w:t>
      </w:r>
    </w:p>
    <w:p w:rsidR="00342914" w:rsidRDefault="00342914" w:rsidP="00AE2EB3">
      <w:pPr>
        <w:spacing w:after="120"/>
        <w:ind w:firstLine="360"/>
        <w:rPr>
          <w:rFonts w:cs="Times New Roman"/>
        </w:rPr>
      </w:pPr>
      <w:r>
        <w:rPr>
          <w:rFonts w:cs="Times New Roman"/>
        </w:rPr>
        <w:t>Substitute:</w:t>
      </w:r>
    </w:p>
    <w:p w:rsidR="00882174" w:rsidRPr="00342914" w:rsidRDefault="00882174" w:rsidP="00AE2EB3">
      <w:pPr>
        <w:pStyle w:val="ListParagraph"/>
        <w:numPr>
          <w:ilvl w:val="0"/>
          <w:numId w:val="26"/>
        </w:numPr>
        <w:spacing w:after="120"/>
        <w:contextualSpacing w:val="0"/>
        <w:rPr>
          <w:rFonts w:ascii="Times New Roman" w:hAnsi="Times New Roman" w:cs="Times New Roman"/>
        </w:rPr>
      </w:pPr>
      <w:r w:rsidRPr="00342914">
        <w:rPr>
          <w:rFonts w:ascii="Times New Roman" w:hAnsi="Times New Roman" w:cs="Times New Roman"/>
          <w:color w:val="1A2023"/>
        </w:rPr>
        <w:t xml:space="preserve">All car parking for staff and </w:t>
      </w:r>
      <w:r w:rsidR="00C86AC9" w:rsidRPr="00342914">
        <w:rPr>
          <w:rFonts w:ascii="Times New Roman" w:hAnsi="Times New Roman" w:cs="Times New Roman"/>
          <w:color w:val="1A2023"/>
        </w:rPr>
        <w:t xml:space="preserve">day-to-day </w:t>
      </w:r>
      <w:r w:rsidRPr="00342914">
        <w:rPr>
          <w:rFonts w:ascii="Times New Roman" w:hAnsi="Times New Roman" w:cs="Times New Roman"/>
          <w:color w:val="1A2023"/>
        </w:rPr>
        <w:t>visitors must be accommodated wholly within the site. A parking report must be provided to demonstrate that adequate parking will be provided on</w:t>
      </w:r>
      <w:r w:rsidR="00C86AC9" w:rsidRPr="00342914">
        <w:rPr>
          <w:rFonts w:ascii="Times New Roman" w:hAnsi="Times New Roman" w:cs="Times New Roman"/>
          <w:color w:val="1A2023"/>
        </w:rPr>
        <w:t xml:space="preserve"> site for all staff and day-to-day visitors</w:t>
      </w:r>
      <w:r w:rsidRPr="00342914">
        <w:rPr>
          <w:rFonts w:ascii="Times New Roman" w:hAnsi="Times New Roman" w:cs="Times New Roman"/>
          <w:color w:val="1A2023"/>
        </w:rPr>
        <w:t xml:space="preserve">. </w:t>
      </w:r>
    </w:p>
    <w:p w:rsidR="00882174" w:rsidRPr="00882174" w:rsidRDefault="00882174" w:rsidP="00AE2EB3">
      <w:pPr>
        <w:shd w:val="clear" w:color="auto" w:fill="FEFEFE"/>
        <w:spacing w:after="120" w:line="220" w:lineRule="atLeast"/>
        <w:ind w:left="1069"/>
        <w:rPr>
          <w:rFonts w:cs="Times New Roman"/>
          <w:color w:val="1A2023"/>
        </w:rPr>
      </w:pPr>
      <w:r w:rsidRPr="00882174">
        <w:rPr>
          <w:rFonts w:cs="Times New Roman"/>
          <w:color w:val="1A2023"/>
        </w:rPr>
        <w:t xml:space="preserve">A minimum 50 per cent of required car parking must be accommodated in basements to minimise visual impact and ensure that parking does not dominate site design. </w:t>
      </w:r>
    </w:p>
    <w:p w:rsidR="00882174" w:rsidRPr="00882174" w:rsidRDefault="00882174" w:rsidP="00AE2EB3">
      <w:pPr>
        <w:shd w:val="clear" w:color="auto" w:fill="FEFEFE"/>
        <w:spacing w:after="120" w:line="220" w:lineRule="atLeast"/>
        <w:ind w:left="1069"/>
        <w:rPr>
          <w:rFonts w:cs="Times New Roman"/>
          <w:color w:val="1A2023"/>
          <w:lang w:eastAsia="en-AU"/>
        </w:rPr>
      </w:pPr>
      <w:r w:rsidRPr="00882174">
        <w:rPr>
          <w:rFonts w:cs="Times New Roman"/>
          <w:color w:val="1A2023"/>
          <w:lang w:eastAsia="en-AU"/>
        </w:rPr>
        <w:t>On-grade parking is discouraged and will only be permitted if the following criteria are met:</w:t>
      </w:r>
      <w:r w:rsidRPr="00882174">
        <w:rPr>
          <w:rFonts w:cs="Times New Roman"/>
          <w:color w:val="1F497D"/>
          <w:lang w:eastAsia="en-AU"/>
        </w:rPr>
        <w:t xml:space="preserve"> </w:t>
      </w:r>
    </w:p>
    <w:p w:rsidR="00882174" w:rsidRPr="00882174" w:rsidRDefault="00882174" w:rsidP="00AE2EB3">
      <w:pPr>
        <w:pStyle w:val="ListParagraph"/>
        <w:numPr>
          <w:ilvl w:val="0"/>
          <w:numId w:val="25"/>
        </w:numPr>
        <w:shd w:val="clear" w:color="auto" w:fill="FEFEFE"/>
        <w:spacing w:after="120" w:line="220" w:lineRule="atLeast"/>
        <w:contextualSpacing w:val="0"/>
        <w:rPr>
          <w:rFonts w:ascii="Times New Roman" w:hAnsi="Times New Roman" w:cs="Times New Roman"/>
          <w:color w:val="1A2023"/>
          <w:lang w:eastAsia="en-AU"/>
        </w:rPr>
      </w:pPr>
      <w:r w:rsidRPr="00882174">
        <w:rPr>
          <w:rFonts w:ascii="Times New Roman" w:hAnsi="Times New Roman" w:cs="Times New Roman"/>
          <w:color w:val="1A2023"/>
        </w:rPr>
        <w:t>parking is located away from road frontages and other public places</w:t>
      </w:r>
    </w:p>
    <w:p w:rsidR="00882174" w:rsidRPr="00882174" w:rsidRDefault="00882174" w:rsidP="00AE2EB3">
      <w:pPr>
        <w:pStyle w:val="ListParagraph"/>
        <w:numPr>
          <w:ilvl w:val="0"/>
          <w:numId w:val="25"/>
        </w:numPr>
        <w:shd w:val="clear" w:color="auto" w:fill="FEFEFE"/>
        <w:spacing w:after="120" w:line="220" w:lineRule="atLeast"/>
        <w:contextualSpacing w:val="0"/>
        <w:rPr>
          <w:rFonts w:ascii="Times New Roman" w:hAnsi="Times New Roman" w:cs="Times New Roman"/>
          <w:color w:val="1A2023"/>
        </w:rPr>
      </w:pPr>
      <w:r w:rsidRPr="00882174">
        <w:rPr>
          <w:rFonts w:ascii="Times New Roman" w:hAnsi="Times New Roman" w:cs="Times New Roman"/>
          <w:color w:val="1A2023"/>
        </w:rPr>
        <w:t>cars are screened from view to the maximum extent possible of streets, buildings, communal and private open space areas</w:t>
      </w:r>
    </w:p>
    <w:p w:rsidR="00882174" w:rsidRPr="00882174" w:rsidRDefault="00882174" w:rsidP="00AE2EB3">
      <w:pPr>
        <w:pStyle w:val="ListParagraph"/>
        <w:numPr>
          <w:ilvl w:val="0"/>
          <w:numId w:val="25"/>
        </w:numPr>
        <w:shd w:val="clear" w:color="auto" w:fill="FEFEFE"/>
        <w:spacing w:after="120" w:line="220" w:lineRule="atLeast"/>
        <w:contextualSpacing w:val="0"/>
        <w:rPr>
          <w:rFonts w:ascii="Times New Roman" w:hAnsi="Times New Roman" w:cs="Times New Roman"/>
          <w:color w:val="1A2023"/>
        </w:rPr>
      </w:pPr>
      <w:r w:rsidRPr="00882174">
        <w:rPr>
          <w:rFonts w:ascii="Times New Roman" w:hAnsi="Times New Roman" w:cs="Times New Roman"/>
          <w:color w:val="1A2023"/>
        </w:rPr>
        <w:t>parking is incorporated into the landscape design of the site, by extending planting and materials into car parking space</w:t>
      </w:r>
    </w:p>
    <w:p w:rsidR="00882174" w:rsidRPr="00882174" w:rsidRDefault="00882174" w:rsidP="00AE2EB3">
      <w:pPr>
        <w:pStyle w:val="ListParagraph"/>
        <w:numPr>
          <w:ilvl w:val="0"/>
          <w:numId w:val="25"/>
        </w:numPr>
        <w:shd w:val="clear" w:color="auto" w:fill="FEFEFE"/>
        <w:spacing w:after="120" w:line="220" w:lineRule="atLeast"/>
        <w:contextualSpacing w:val="0"/>
        <w:rPr>
          <w:rFonts w:ascii="Times New Roman" w:hAnsi="Times New Roman" w:cs="Times New Roman"/>
          <w:color w:val="1A2023"/>
        </w:rPr>
      </w:pPr>
      <w:r w:rsidRPr="00882174">
        <w:rPr>
          <w:rFonts w:ascii="Times New Roman" w:hAnsi="Times New Roman" w:cs="Times New Roman"/>
          <w:color w:val="1A2023"/>
        </w:rPr>
        <w:lastRenderedPageBreak/>
        <w:t>light coloured paving materials or permeable paving systems are used and shade trees are planted between every 4-5 parking spaces to reduce increased surface temperatures from large areas of paving.</w:t>
      </w:r>
    </w:p>
    <w:p w:rsidR="00882174" w:rsidRPr="00882174" w:rsidRDefault="00882174" w:rsidP="00AE2EB3">
      <w:pPr>
        <w:pStyle w:val="NormalWeb"/>
        <w:shd w:val="clear" w:color="auto" w:fill="FEFEFE"/>
        <w:spacing w:before="0" w:beforeAutospacing="0" w:after="120" w:afterAutospacing="0" w:line="220" w:lineRule="atLeast"/>
        <w:ind w:left="349" w:firstLine="720"/>
        <w:rPr>
          <w:color w:val="1A2023"/>
          <w:sz w:val="22"/>
          <w:szCs w:val="22"/>
        </w:rPr>
      </w:pPr>
      <w:r w:rsidRPr="00882174">
        <w:rPr>
          <w:color w:val="1A2023"/>
          <w:sz w:val="22"/>
          <w:szCs w:val="22"/>
        </w:rPr>
        <w:t>The layout of proposed parking areas must be included in the Landscape Plan.</w:t>
      </w:r>
      <w:r w:rsidRPr="00882174">
        <w:rPr>
          <w:color w:val="1F497D"/>
          <w:sz w:val="22"/>
          <w:szCs w:val="22"/>
        </w:rPr>
        <w:t xml:space="preserve"> </w:t>
      </w:r>
    </w:p>
    <w:p w:rsidR="00882174" w:rsidRDefault="00882174" w:rsidP="00AE2EB3">
      <w:pPr>
        <w:pStyle w:val="NormalWeb"/>
        <w:shd w:val="clear" w:color="auto" w:fill="FEFEFE"/>
        <w:spacing w:before="0" w:beforeAutospacing="0" w:after="120" w:afterAutospacing="0" w:line="220" w:lineRule="atLeast"/>
        <w:ind w:left="1069"/>
        <w:rPr>
          <w:color w:val="1F497D"/>
          <w:sz w:val="22"/>
          <w:szCs w:val="22"/>
        </w:rPr>
      </w:pPr>
      <w:r w:rsidRPr="00882174">
        <w:rPr>
          <w:color w:val="1A2023"/>
          <w:sz w:val="22"/>
          <w:szCs w:val="22"/>
        </w:rPr>
        <w:t>Garages and car ports will not be permitted forward of the building lines established along the frontage of individual blocks. All covered vehicle parking must be consistent in character with the architectural style of the main building, matching materials and finishes.</w:t>
      </w:r>
      <w:r w:rsidRPr="00882174">
        <w:rPr>
          <w:color w:val="1F497D"/>
          <w:sz w:val="22"/>
          <w:szCs w:val="22"/>
        </w:rPr>
        <w:t xml:space="preserve"> </w:t>
      </w:r>
    </w:p>
    <w:p w:rsidR="00882174" w:rsidRPr="00AE2EB3" w:rsidRDefault="00484DFD" w:rsidP="00AE2EB3">
      <w:pPr>
        <w:pStyle w:val="ItemHead"/>
        <w:spacing w:after="120"/>
        <w:rPr>
          <w:rFonts w:cs="Arial"/>
          <w:szCs w:val="24"/>
        </w:rPr>
      </w:pPr>
      <w:r>
        <w:t>19  Section 4.14</w:t>
      </w:r>
      <w:r w:rsidRPr="003E1BFE">
        <w:rPr>
          <w:rFonts w:cs="Arial"/>
          <w:szCs w:val="24"/>
        </w:rPr>
        <w:t>.5 Detailed conditions of planning, design and development for the Diplomatic Precinct (Yarralumla, Deakin, O’Malley and Curtin)</w:t>
      </w:r>
    </w:p>
    <w:p w:rsidR="00840367" w:rsidRPr="00AE2EB3" w:rsidRDefault="00840367" w:rsidP="00AE2EB3">
      <w:pPr>
        <w:pStyle w:val="ListParagraph"/>
        <w:numPr>
          <w:ilvl w:val="0"/>
          <w:numId w:val="21"/>
        </w:numPr>
        <w:spacing w:after="120"/>
        <w:contextualSpacing w:val="0"/>
        <w:rPr>
          <w:rFonts w:ascii="Times New Roman" w:hAnsi="Times New Roman" w:cs="Times New Roman"/>
        </w:rPr>
      </w:pPr>
      <w:r>
        <w:rPr>
          <w:rFonts w:ascii="Times New Roman" w:hAnsi="Times New Roman" w:cs="Times New Roman"/>
        </w:rPr>
        <w:t>Add a new section titled ‘Signs, lighting and other structures</w:t>
      </w:r>
      <w:r w:rsidR="000844EC">
        <w:rPr>
          <w:rFonts w:ascii="Times New Roman" w:hAnsi="Times New Roman" w:cs="Times New Roman"/>
        </w:rPr>
        <w:t>’</w:t>
      </w:r>
      <w:r>
        <w:rPr>
          <w:rFonts w:ascii="Times New Roman" w:hAnsi="Times New Roman" w:cs="Times New Roman"/>
        </w:rPr>
        <w:t xml:space="preserve"> as follows:</w:t>
      </w:r>
    </w:p>
    <w:p w:rsidR="00840367" w:rsidRPr="00840367" w:rsidRDefault="00840367" w:rsidP="00AE2EB3">
      <w:pPr>
        <w:pStyle w:val="ListParagraph"/>
        <w:spacing w:after="120" w:line="220" w:lineRule="atLeast"/>
        <w:ind w:left="1069"/>
        <w:contextualSpacing w:val="0"/>
        <w:rPr>
          <w:rFonts w:ascii="Times New Roman" w:hAnsi="Times New Roman" w:cs="Times New Roman"/>
        </w:rPr>
      </w:pPr>
      <w:r w:rsidRPr="00840367">
        <w:rPr>
          <w:rFonts w:ascii="Times New Roman" w:hAnsi="Times New Roman" w:cs="Times New Roman"/>
        </w:rPr>
        <w:t>Flagpoles, wireless masts, signs, security fencing, flood lighting, special security lighting and other like elements may be permitted between the site boundary and building setback. Where proposed, such elements must be complementary to architectural and landscape design, and demonstrate a consistency in design detail such as colour, materials and quality.   </w:t>
      </w:r>
    </w:p>
    <w:p w:rsidR="00840367" w:rsidRPr="00AE2EB3" w:rsidRDefault="00484DFD" w:rsidP="00AE2EB3">
      <w:pPr>
        <w:pStyle w:val="ItemHead"/>
        <w:spacing w:after="120"/>
        <w:rPr>
          <w:rFonts w:cs="Arial"/>
          <w:szCs w:val="24"/>
        </w:rPr>
      </w:pPr>
      <w:r>
        <w:t>20  Section 4.14</w:t>
      </w:r>
      <w:r w:rsidRPr="003E1BFE">
        <w:rPr>
          <w:rFonts w:cs="Arial"/>
          <w:szCs w:val="24"/>
        </w:rPr>
        <w:t>.5 Detailed conditions of planning, design and development for the Diplomatic Precinct (Yarralumla, Deakin, O’Malley and Curtin)</w:t>
      </w:r>
    </w:p>
    <w:p w:rsidR="00840367" w:rsidRDefault="000844EC" w:rsidP="00AE2EB3">
      <w:pPr>
        <w:pStyle w:val="ListParagraph"/>
        <w:numPr>
          <w:ilvl w:val="0"/>
          <w:numId w:val="21"/>
        </w:numPr>
        <w:spacing w:after="120"/>
        <w:contextualSpacing w:val="0"/>
        <w:rPr>
          <w:rFonts w:ascii="Times New Roman" w:hAnsi="Times New Roman" w:cs="Times New Roman"/>
        </w:rPr>
      </w:pPr>
      <w:r>
        <w:rPr>
          <w:rFonts w:ascii="Times New Roman" w:hAnsi="Times New Roman" w:cs="Times New Roman"/>
        </w:rPr>
        <w:t>Add a new section titled ‘Environmentally sustainable design’ as follows:</w:t>
      </w:r>
    </w:p>
    <w:p w:rsidR="000844EC" w:rsidRPr="000844EC" w:rsidRDefault="000844EC" w:rsidP="00AE2EB3">
      <w:pPr>
        <w:shd w:val="clear" w:color="auto" w:fill="FEFEFE"/>
        <w:spacing w:after="120" w:line="220" w:lineRule="atLeast"/>
        <w:ind w:left="720"/>
        <w:rPr>
          <w:rFonts w:cs="Times New Roman"/>
          <w:lang w:eastAsia="en-AU"/>
        </w:rPr>
      </w:pPr>
      <w:r w:rsidRPr="000844EC">
        <w:rPr>
          <w:rFonts w:cs="Times New Roman"/>
          <w:lang w:eastAsia="en-AU"/>
        </w:rPr>
        <w:t>The NCA encourages environmentally sustainable design through the use of innovative technology, design and ongoing building operation. Development must seek to:</w:t>
      </w:r>
    </w:p>
    <w:p w:rsidR="000844EC" w:rsidRPr="000844EC" w:rsidRDefault="000844EC" w:rsidP="00AE2EB3">
      <w:pPr>
        <w:pStyle w:val="ListParagraph"/>
        <w:numPr>
          <w:ilvl w:val="0"/>
          <w:numId w:val="23"/>
        </w:numPr>
        <w:shd w:val="clear" w:color="auto" w:fill="FEFEFE"/>
        <w:spacing w:after="120" w:line="220" w:lineRule="atLeast"/>
        <w:contextualSpacing w:val="0"/>
        <w:rPr>
          <w:rFonts w:ascii="Times New Roman" w:hAnsi="Times New Roman" w:cs="Times New Roman"/>
          <w:lang w:eastAsia="en-AU"/>
        </w:rPr>
      </w:pPr>
      <w:r w:rsidRPr="000844EC">
        <w:rPr>
          <w:rFonts w:ascii="Times New Roman" w:hAnsi="Times New Roman" w:cs="Times New Roman"/>
        </w:rPr>
        <w:t>reduce energy consumption, reduce total operating greenhouse gas emissions, and reduce peak demand through particular design measures such as appropriate building orientation, space allocation for solar panels, and shading to glazed surfaces</w:t>
      </w:r>
    </w:p>
    <w:p w:rsidR="000844EC" w:rsidRPr="000844EC" w:rsidRDefault="000844EC" w:rsidP="00AE2EB3">
      <w:pPr>
        <w:pStyle w:val="ListParagraph"/>
        <w:numPr>
          <w:ilvl w:val="0"/>
          <w:numId w:val="23"/>
        </w:numPr>
        <w:shd w:val="clear" w:color="auto" w:fill="FEFEFE"/>
        <w:spacing w:after="120" w:line="220" w:lineRule="atLeast"/>
        <w:contextualSpacing w:val="0"/>
        <w:rPr>
          <w:rFonts w:ascii="Times New Roman" w:hAnsi="Times New Roman" w:cs="Times New Roman"/>
        </w:rPr>
      </w:pPr>
      <w:r w:rsidRPr="000844EC">
        <w:rPr>
          <w:rFonts w:ascii="Times New Roman" w:hAnsi="Times New Roman" w:cs="Times New Roman"/>
        </w:rPr>
        <w:t>improve water efficiency, reduce total operating potable water use, collect and reuse stormwater, use alternative water sources (such as greywater)</w:t>
      </w:r>
    </w:p>
    <w:p w:rsidR="000844EC" w:rsidRPr="000844EC" w:rsidRDefault="000844EC" w:rsidP="00AE2EB3">
      <w:pPr>
        <w:pStyle w:val="ListParagraph"/>
        <w:numPr>
          <w:ilvl w:val="0"/>
          <w:numId w:val="23"/>
        </w:numPr>
        <w:shd w:val="clear" w:color="auto" w:fill="FEFEFE"/>
        <w:spacing w:after="120" w:line="220" w:lineRule="atLeast"/>
        <w:contextualSpacing w:val="0"/>
        <w:rPr>
          <w:rFonts w:ascii="Times New Roman" w:hAnsi="Times New Roman" w:cs="Times New Roman"/>
        </w:rPr>
      </w:pPr>
      <w:r w:rsidRPr="000844EC">
        <w:rPr>
          <w:rFonts w:ascii="Times New Roman" w:hAnsi="Times New Roman" w:cs="Times New Roman"/>
        </w:rPr>
        <w:t>provide a healthy indoor environment including the provisions of fresh air, cross ventilation and natural daylight, reduce reliance on mechanical heating, ventilation, lighting and cooling</w:t>
      </w:r>
    </w:p>
    <w:p w:rsidR="000844EC" w:rsidRPr="000844EC" w:rsidRDefault="000844EC" w:rsidP="00AE2EB3">
      <w:pPr>
        <w:pStyle w:val="ListParagraph"/>
        <w:numPr>
          <w:ilvl w:val="0"/>
          <w:numId w:val="23"/>
        </w:numPr>
        <w:shd w:val="clear" w:color="auto" w:fill="FEFEFE"/>
        <w:spacing w:after="120" w:line="220" w:lineRule="atLeast"/>
        <w:contextualSpacing w:val="0"/>
        <w:rPr>
          <w:rFonts w:ascii="Times New Roman" w:hAnsi="Times New Roman" w:cs="Times New Roman"/>
        </w:rPr>
      </w:pPr>
      <w:r w:rsidRPr="000844EC">
        <w:rPr>
          <w:rFonts w:ascii="Times New Roman" w:hAnsi="Times New Roman" w:cs="Times New Roman"/>
        </w:rPr>
        <w:t>minimise noise levels and noise transfer within and between buildings and associated external areas</w:t>
      </w:r>
    </w:p>
    <w:p w:rsidR="000844EC" w:rsidRPr="000844EC" w:rsidRDefault="000844EC" w:rsidP="00AE2EB3">
      <w:pPr>
        <w:pStyle w:val="ListParagraph"/>
        <w:numPr>
          <w:ilvl w:val="0"/>
          <w:numId w:val="23"/>
        </w:numPr>
        <w:shd w:val="clear" w:color="auto" w:fill="FEFEFE"/>
        <w:spacing w:after="120" w:line="220" w:lineRule="atLeast"/>
        <w:contextualSpacing w:val="0"/>
        <w:rPr>
          <w:rFonts w:ascii="Times New Roman" w:hAnsi="Times New Roman" w:cs="Times New Roman"/>
        </w:rPr>
      </w:pPr>
      <w:r w:rsidRPr="000844EC">
        <w:rPr>
          <w:rFonts w:ascii="Times New Roman" w:hAnsi="Times New Roman" w:cs="Times New Roman"/>
        </w:rPr>
        <w:t>incorporate the use of water sensitive urban design, including stormwater collection and reuse.</w:t>
      </w:r>
    </w:p>
    <w:p w:rsidR="000844EC" w:rsidRPr="000844EC" w:rsidRDefault="000844EC" w:rsidP="00AE2EB3">
      <w:pPr>
        <w:shd w:val="clear" w:color="auto" w:fill="FEFEFE"/>
        <w:spacing w:after="120" w:line="220" w:lineRule="atLeast"/>
        <w:ind w:firstLine="720"/>
        <w:rPr>
          <w:rFonts w:cs="Times New Roman"/>
          <w:lang w:eastAsia="en-AU"/>
        </w:rPr>
      </w:pPr>
      <w:r w:rsidRPr="000844EC">
        <w:rPr>
          <w:rFonts w:cs="Times New Roman"/>
          <w:lang w:eastAsia="en-AU"/>
        </w:rPr>
        <w:t>As a minimum:</w:t>
      </w:r>
    </w:p>
    <w:p w:rsidR="000844EC" w:rsidRPr="000844EC" w:rsidRDefault="000844EC" w:rsidP="00AE2EB3">
      <w:pPr>
        <w:shd w:val="clear" w:color="auto" w:fill="FEFEFE"/>
        <w:spacing w:after="120" w:line="220" w:lineRule="atLeast"/>
        <w:ind w:left="720"/>
        <w:rPr>
          <w:rFonts w:cs="Times New Roman"/>
          <w:lang w:eastAsia="en-AU"/>
        </w:rPr>
      </w:pPr>
      <w:r w:rsidRPr="000844EC">
        <w:rPr>
          <w:rFonts w:cs="Times New Roman"/>
          <w:lang w:eastAsia="en-AU"/>
        </w:rPr>
        <w:t xml:space="preserve">Development should incorporate passive solar design to optimise heat storage in winter and reduce heat transfer in summer. Potential design options include the use of smart glass or other technologies (particularly on north and west elevations), </w:t>
      </w:r>
      <w:r w:rsidRPr="000844EC">
        <w:rPr>
          <w:rFonts w:cs="Times New Roman"/>
          <w:lang w:eastAsia="en-AU"/>
        </w:rPr>
        <w:lastRenderedPageBreak/>
        <w:t>maximising thermal mass in the floors and walls of north facing rooms, overhangs and shading devices such as awnings, blinds and screens.</w:t>
      </w:r>
    </w:p>
    <w:p w:rsidR="000844EC" w:rsidRPr="000844EC" w:rsidRDefault="000844EC" w:rsidP="00AE2EB3">
      <w:pPr>
        <w:shd w:val="clear" w:color="auto" w:fill="FEFEFE"/>
        <w:spacing w:after="120" w:line="220" w:lineRule="atLeast"/>
        <w:ind w:left="720"/>
        <w:rPr>
          <w:rFonts w:cs="Times New Roman"/>
          <w:lang w:eastAsia="en-AU"/>
        </w:rPr>
      </w:pPr>
      <w:r w:rsidRPr="000844EC">
        <w:rPr>
          <w:rFonts w:cs="Times New Roman"/>
          <w:lang w:eastAsia="en-AU"/>
        </w:rPr>
        <w:t>Operable screening such as louvres, sliding, folding or retractable elements should be designed to provide shade and protection from natural elements. Operable screening elements must be integrated with building design.</w:t>
      </w:r>
    </w:p>
    <w:p w:rsidR="000844EC" w:rsidRPr="000844EC" w:rsidRDefault="000844EC" w:rsidP="00AE2EB3">
      <w:pPr>
        <w:shd w:val="clear" w:color="auto" w:fill="FEFEFE"/>
        <w:spacing w:after="120" w:line="220" w:lineRule="atLeast"/>
        <w:ind w:left="720"/>
        <w:rPr>
          <w:rFonts w:cs="Times New Roman"/>
          <w:lang w:eastAsia="en-AU"/>
        </w:rPr>
      </w:pPr>
      <w:r w:rsidRPr="000844EC">
        <w:rPr>
          <w:rFonts w:cs="Times New Roman"/>
          <w:lang w:eastAsia="en-AU"/>
        </w:rPr>
        <w:t>Building design must incorporate shading and glare control, particularly to manage sun penetration in warmer months. Design features could include:</w:t>
      </w:r>
    </w:p>
    <w:p w:rsidR="000844EC" w:rsidRPr="000844EC" w:rsidRDefault="000844EC" w:rsidP="00AE2EB3">
      <w:pPr>
        <w:pStyle w:val="ListParagraph"/>
        <w:numPr>
          <w:ilvl w:val="0"/>
          <w:numId w:val="24"/>
        </w:numPr>
        <w:shd w:val="clear" w:color="auto" w:fill="FEFEFE"/>
        <w:spacing w:after="120" w:line="220" w:lineRule="atLeast"/>
        <w:contextualSpacing w:val="0"/>
        <w:rPr>
          <w:rFonts w:ascii="Times New Roman" w:hAnsi="Times New Roman" w:cs="Times New Roman"/>
          <w:lang w:eastAsia="en-AU"/>
        </w:rPr>
      </w:pPr>
      <w:r w:rsidRPr="000844EC">
        <w:rPr>
          <w:rFonts w:ascii="Times New Roman" w:hAnsi="Times New Roman" w:cs="Times New Roman"/>
        </w:rPr>
        <w:t>balconies or sun shading that extend far enough to shade summer sun, but allow winter sun to penetrate living areas</w:t>
      </w:r>
    </w:p>
    <w:p w:rsidR="000844EC" w:rsidRPr="000844EC" w:rsidRDefault="000844EC" w:rsidP="00AE2EB3">
      <w:pPr>
        <w:pStyle w:val="ListParagraph"/>
        <w:numPr>
          <w:ilvl w:val="0"/>
          <w:numId w:val="24"/>
        </w:numPr>
        <w:shd w:val="clear" w:color="auto" w:fill="FEFEFE"/>
        <w:spacing w:after="120" w:line="220" w:lineRule="atLeast"/>
        <w:contextualSpacing w:val="0"/>
        <w:rPr>
          <w:rFonts w:ascii="Times New Roman" w:hAnsi="Times New Roman" w:cs="Times New Roman"/>
        </w:rPr>
      </w:pPr>
      <w:r w:rsidRPr="000844EC">
        <w:rPr>
          <w:rFonts w:ascii="Times New Roman" w:hAnsi="Times New Roman" w:cs="Times New Roman"/>
        </w:rPr>
        <w:t>shading devices such as eaves, awnings, balconies, pergolas, external louvres</w:t>
      </w:r>
    </w:p>
    <w:p w:rsidR="000844EC" w:rsidRPr="000844EC" w:rsidRDefault="000844EC" w:rsidP="00AE2EB3">
      <w:pPr>
        <w:pStyle w:val="ListParagraph"/>
        <w:numPr>
          <w:ilvl w:val="0"/>
          <w:numId w:val="24"/>
        </w:numPr>
        <w:shd w:val="clear" w:color="auto" w:fill="FEFEFE"/>
        <w:spacing w:after="120" w:line="220" w:lineRule="atLeast"/>
        <w:contextualSpacing w:val="0"/>
        <w:rPr>
          <w:rFonts w:ascii="Times New Roman" w:hAnsi="Times New Roman" w:cs="Times New Roman"/>
        </w:rPr>
      </w:pPr>
      <w:r w:rsidRPr="000844EC">
        <w:rPr>
          <w:rFonts w:ascii="Times New Roman" w:hAnsi="Times New Roman" w:cs="Times New Roman"/>
        </w:rPr>
        <w:t>horizontal shading to north facing window</w:t>
      </w:r>
    </w:p>
    <w:p w:rsidR="000844EC" w:rsidRPr="000844EC" w:rsidRDefault="000844EC" w:rsidP="00AE2EB3">
      <w:pPr>
        <w:pStyle w:val="ListParagraph"/>
        <w:numPr>
          <w:ilvl w:val="0"/>
          <w:numId w:val="24"/>
        </w:numPr>
        <w:shd w:val="clear" w:color="auto" w:fill="FEFEFE"/>
        <w:spacing w:after="120" w:line="220" w:lineRule="atLeast"/>
        <w:contextualSpacing w:val="0"/>
        <w:rPr>
          <w:rFonts w:ascii="Times New Roman" w:hAnsi="Times New Roman" w:cs="Times New Roman"/>
        </w:rPr>
      </w:pPr>
      <w:r w:rsidRPr="000844EC">
        <w:rPr>
          <w:rFonts w:ascii="Times New Roman" w:hAnsi="Times New Roman" w:cs="Times New Roman"/>
        </w:rPr>
        <w:t>vertical shading to east and particularly west facing windows</w:t>
      </w:r>
    </w:p>
    <w:p w:rsidR="000844EC" w:rsidRPr="000844EC" w:rsidRDefault="000844EC" w:rsidP="00AE2EB3">
      <w:pPr>
        <w:pStyle w:val="ListParagraph"/>
        <w:numPr>
          <w:ilvl w:val="0"/>
          <w:numId w:val="24"/>
        </w:numPr>
        <w:shd w:val="clear" w:color="auto" w:fill="FEFEFE"/>
        <w:spacing w:after="120" w:line="220" w:lineRule="atLeast"/>
        <w:contextualSpacing w:val="0"/>
        <w:rPr>
          <w:rFonts w:ascii="Times New Roman" w:hAnsi="Times New Roman" w:cs="Times New Roman"/>
        </w:rPr>
      </w:pPr>
      <w:r w:rsidRPr="000844EC">
        <w:rPr>
          <w:rFonts w:ascii="Times New Roman" w:hAnsi="Times New Roman" w:cs="Times New Roman"/>
        </w:rPr>
        <w:t>operable shading to allow adjustment.</w:t>
      </w:r>
    </w:p>
    <w:p w:rsidR="000844EC" w:rsidRPr="00AE2EB3" w:rsidRDefault="00484DFD" w:rsidP="00AE2EB3">
      <w:pPr>
        <w:pStyle w:val="ItemHead"/>
        <w:spacing w:after="120"/>
        <w:rPr>
          <w:rFonts w:cs="Arial"/>
          <w:szCs w:val="24"/>
        </w:rPr>
      </w:pPr>
      <w:r>
        <w:t>21  Section 4.14</w:t>
      </w:r>
      <w:r w:rsidRPr="003E1BFE">
        <w:rPr>
          <w:rFonts w:cs="Arial"/>
          <w:szCs w:val="24"/>
        </w:rPr>
        <w:t>.5 Detailed conditions of planning, design and development for the Diplomatic Precinct (Yarralumla, Deakin, O’Malley and Curtin)</w:t>
      </w:r>
    </w:p>
    <w:p w:rsidR="001B6687" w:rsidRPr="001B6687" w:rsidRDefault="006C02BF" w:rsidP="00AE2EB3">
      <w:pPr>
        <w:pStyle w:val="ListParagraph"/>
        <w:numPr>
          <w:ilvl w:val="0"/>
          <w:numId w:val="28"/>
        </w:numPr>
        <w:spacing w:after="120"/>
        <w:contextualSpacing w:val="0"/>
        <w:rPr>
          <w:rFonts w:ascii="Times New Roman" w:hAnsi="Times New Roman" w:cs="Times New Roman"/>
        </w:rPr>
      </w:pPr>
      <w:r w:rsidRPr="001B6687">
        <w:rPr>
          <w:rFonts w:ascii="Times New Roman" w:hAnsi="Times New Roman" w:cs="Times New Roman"/>
        </w:rPr>
        <w:t>Add a new section titled ‘Sit</w:t>
      </w:r>
      <w:r w:rsidR="000B0740" w:rsidRPr="001B6687">
        <w:rPr>
          <w:rFonts w:ascii="Times New Roman" w:hAnsi="Times New Roman" w:cs="Times New Roman"/>
        </w:rPr>
        <w:t>e specific’ as</w:t>
      </w:r>
      <w:r w:rsidRPr="001B6687">
        <w:rPr>
          <w:rFonts w:ascii="Times New Roman" w:hAnsi="Times New Roman" w:cs="Times New Roman"/>
        </w:rPr>
        <w:t xml:space="preserve"> follows:</w:t>
      </w:r>
    </w:p>
    <w:p w:rsidR="001B6687" w:rsidRPr="003E1BFE" w:rsidRDefault="006C02BF" w:rsidP="00AE2EB3">
      <w:pPr>
        <w:spacing w:after="120"/>
        <w:ind w:left="720"/>
        <w:rPr>
          <w:rFonts w:cs="Times New Roman"/>
        </w:rPr>
      </w:pPr>
      <w:r w:rsidRPr="003E1BFE">
        <w:rPr>
          <w:rFonts w:cs="Times New Roman"/>
        </w:rPr>
        <w:t>Buildings and major structures on land identified for Residential use must be set back a minimum of 15 metres from Yarra Glen road reserve boundary.</w:t>
      </w:r>
    </w:p>
    <w:p w:rsidR="001B6687" w:rsidRPr="003E1BFE" w:rsidRDefault="006C02BF" w:rsidP="00AE2EB3">
      <w:pPr>
        <w:spacing w:after="120"/>
        <w:ind w:left="720"/>
        <w:rPr>
          <w:rFonts w:cs="Times New Roman"/>
        </w:rPr>
      </w:pPr>
      <w:r w:rsidRPr="003E1BFE">
        <w:rPr>
          <w:rFonts w:cs="Times New Roman"/>
        </w:rPr>
        <w:t>No access to Residential land is permitted from Yarra Glen.</w:t>
      </w:r>
    </w:p>
    <w:p w:rsidR="006C02BF" w:rsidRPr="003E1BFE" w:rsidRDefault="006C02BF" w:rsidP="00AE2EB3">
      <w:pPr>
        <w:spacing w:after="120"/>
        <w:ind w:left="720"/>
        <w:rPr>
          <w:rFonts w:cs="Times New Roman"/>
        </w:rPr>
      </w:pPr>
      <w:r w:rsidRPr="003E1BFE">
        <w:rPr>
          <w:rFonts w:cs="Times New Roman"/>
        </w:rPr>
        <w:t>For Residential land, detailed conditions of planning, design and development must be approved by the National Capital Authority prior to development. Detailed conditions of planning, design and development must address (at a minimum):</w:t>
      </w:r>
    </w:p>
    <w:p w:rsidR="006C02BF" w:rsidRPr="003E1BFE" w:rsidRDefault="006C02BF" w:rsidP="00AE2EB3">
      <w:pPr>
        <w:pStyle w:val="ListParagraph"/>
        <w:numPr>
          <w:ilvl w:val="0"/>
          <w:numId w:val="16"/>
        </w:numPr>
        <w:spacing w:after="120"/>
        <w:contextualSpacing w:val="0"/>
        <w:rPr>
          <w:rFonts w:ascii="Times New Roman" w:hAnsi="Times New Roman" w:cs="Times New Roman"/>
        </w:rPr>
      </w:pPr>
      <w:r w:rsidRPr="003E1BFE">
        <w:rPr>
          <w:rFonts w:ascii="Times New Roman" w:hAnsi="Times New Roman" w:cs="Times New Roman"/>
        </w:rPr>
        <w:t>refined land uses</w:t>
      </w:r>
    </w:p>
    <w:p w:rsidR="006C02BF" w:rsidRPr="003E1BFE" w:rsidRDefault="006C02BF" w:rsidP="00AE2EB3">
      <w:pPr>
        <w:pStyle w:val="ListParagraph"/>
        <w:numPr>
          <w:ilvl w:val="0"/>
          <w:numId w:val="16"/>
        </w:numPr>
        <w:spacing w:after="120"/>
        <w:contextualSpacing w:val="0"/>
        <w:rPr>
          <w:rFonts w:ascii="Times New Roman" w:hAnsi="Times New Roman" w:cs="Times New Roman"/>
        </w:rPr>
      </w:pPr>
      <w:r w:rsidRPr="003E1BFE">
        <w:rPr>
          <w:rFonts w:ascii="Times New Roman" w:hAnsi="Times New Roman" w:cs="Times New Roman"/>
        </w:rPr>
        <w:t>building heights and setbacks to roads and boundaries other than those already identified in the National Capital Plan</w:t>
      </w:r>
    </w:p>
    <w:p w:rsidR="006C02BF" w:rsidRPr="003E1BFE" w:rsidRDefault="006C02BF" w:rsidP="00AE2EB3">
      <w:pPr>
        <w:pStyle w:val="ListParagraph"/>
        <w:numPr>
          <w:ilvl w:val="0"/>
          <w:numId w:val="16"/>
        </w:numPr>
        <w:spacing w:after="120"/>
        <w:contextualSpacing w:val="0"/>
        <w:rPr>
          <w:rFonts w:ascii="Times New Roman" w:hAnsi="Times New Roman" w:cs="Times New Roman"/>
        </w:rPr>
      </w:pPr>
      <w:r w:rsidRPr="003E1BFE">
        <w:rPr>
          <w:rFonts w:ascii="Times New Roman" w:hAnsi="Times New Roman" w:cs="Times New Roman"/>
        </w:rPr>
        <w:t>impact on, and interface with, the diplomatic estate</w:t>
      </w:r>
    </w:p>
    <w:p w:rsidR="006C02BF" w:rsidRPr="003E1BFE" w:rsidRDefault="006C02BF" w:rsidP="00AE2EB3">
      <w:pPr>
        <w:pStyle w:val="ListParagraph"/>
        <w:numPr>
          <w:ilvl w:val="0"/>
          <w:numId w:val="16"/>
        </w:numPr>
        <w:spacing w:after="120"/>
        <w:contextualSpacing w:val="0"/>
        <w:rPr>
          <w:rFonts w:ascii="Times New Roman" w:hAnsi="Times New Roman" w:cs="Times New Roman"/>
        </w:rPr>
      </w:pPr>
      <w:r w:rsidRPr="003E1BFE">
        <w:rPr>
          <w:rFonts w:ascii="Times New Roman" w:hAnsi="Times New Roman" w:cs="Times New Roman"/>
        </w:rPr>
        <w:t>subdivision</w:t>
      </w:r>
    </w:p>
    <w:p w:rsidR="006C02BF" w:rsidRPr="003E1BFE" w:rsidRDefault="006C02BF" w:rsidP="00AE2EB3">
      <w:pPr>
        <w:pStyle w:val="ListParagraph"/>
        <w:numPr>
          <w:ilvl w:val="0"/>
          <w:numId w:val="16"/>
        </w:numPr>
        <w:spacing w:after="120"/>
        <w:contextualSpacing w:val="0"/>
        <w:rPr>
          <w:rFonts w:ascii="Times New Roman" w:hAnsi="Times New Roman" w:cs="Times New Roman"/>
        </w:rPr>
      </w:pPr>
      <w:r w:rsidRPr="003E1BFE">
        <w:rPr>
          <w:rFonts w:ascii="Times New Roman" w:hAnsi="Times New Roman" w:cs="Times New Roman"/>
        </w:rPr>
        <w:t>access, road layout and car parking</w:t>
      </w:r>
    </w:p>
    <w:p w:rsidR="006C02BF" w:rsidRPr="003E1BFE" w:rsidRDefault="006C02BF" w:rsidP="00AE2EB3">
      <w:pPr>
        <w:pStyle w:val="ListParagraph"/>
        <w:numPr>
          <w:ilvl w:val="0"/>
          <w:numId w:val="16"/>
        </w:numPr>
        <w:spacing w:after="120"/>
        <w:contextualSpacing w:val="0"/>
        <w:rPr>
          <w:rFonts w:ascii="Times New Roman" w:hAnsi="Times New Roman" w:cs="Times New Roman"/>
        </w:rPr>
      </w:pPr>
      <w:r w:rsidRPr="003E1BFE">
        <w:rPr>
          <w:rFonts w:ascii="Times New Roman" w:hAnsi="Times New Roman" w:cs="Times New Roman"/>
        </w:rPr>
        <w:t xml:space="preserve">building form </w:t>
      </w:r>
    </w:p>
    <w:p w:rsidR="006C02BF" w:rsidRPr="003E1BFE" w:rsidRDefault="006C02BF" w:rsidP="00AE2EB3">
      <w:pPr>
        <w:pStyle w:val="ListParagraph"/>
        <w:numPr>
          <w:ilvl w:val="0"/>
          <w:numId w:val="16"/>
        </w:numPr>
        <w:spacing w:after="120"/>
        <w:contextualSpacing w:val="0"/>
        <w:rPr>
          <w:rFonts w:ascii="Times New Roman" w:hAnsi="Times New Roman" w:cs="Times New Roman"/>
        </w:rPr>
      </w:pPr>
      <w:r w:rsidRPr="003E1BFE">
        <w:rPr>
          <w:rFonts w:ascii="Times New Roman" w:hAnsi="Times New Roman" w:cs="Times New Roman"/>
        </w:rPr>
        <w:t>landscape structure and open space</w:t>
      </w:r>
    </w:p>
    <w:p w:rsidR="006C02BF" w:rsidRPr="003E1BFE" w:rsidRDefault="006C02BF" w:rsidP="00AE2EB3">
      <w:pPr>
        <w:pStyle w:val="ListParagraph"/>
        <w:numPr>
          <w:ilvl w:val="0"/>
          <w:numId w:val="16"/>
        </w:numPr>
        <w:spacing w:after="120"/>
        <w:contextualSpacing w:val="0"/>
        <w:rPr>
          <w:rFonts w:ascii="Times New Roman" w:hAnsi="Times New Roman" w:cs="Times New Roman"/>
        </w:rPr>
      </w:pPr>
      <w:r w:rsidRPr="003E1BFE">
        <w:rPr>
          <w:rFonts w:ascii="Times New Roman" w:hAnsi="Times New Roman" w:cs="Times New Roman"/>
        </w:rPr>
        <w:t>streetscape</w:t>
      </w:r>
    </w:p>
    <w:p w:rsidR="006C02BF" w:rsidRPr="003E1BFE" w:rsidRDefault="006C02BF" w:rsidP="00AE2EB3">
      <w:pPr>
        <w:pStyle w:val="ListParagraph"/>
        <w:numPr>
          <w:ilvl w:val="0"/>
          <w:numId w:val="16"/>
        </w:numPr>
        <w:spacing w:after="120"/>
        <w:contextualSpacing w:val="0"/>
        <w:rPr>
          <w:rFonts w:ascii="Times New Roman" w:hAnsi="Times New Roman" w:cs="Times New Roman"/>
        </w:rPr>
      </w:pPr>
      <w:r w:rsidRPr="003E1BFE">
        <w:rPr>
          <w:rFonts w:ascii="Times New Roman" w:hAnsi="Times New Roman" w:cs="Times New Roman"/>
        </w:rPr>
        <w:t>lighting</w:t>
      </w:r>
    </w:p>
    <w:p w:rsidR="006C02BF" w:rsidRPr="003E1BFE" w:rsidRDefault="006C02BF" w:rsidP="00AE2EB3">
      <w:pPr>
        <w:pStyle w:val="ListParagraph"/>
        <w:numPr>
          <w:ilvl w:val="0"/>
          <w:numId w:val="16"/>
        </w:numPr>
        <w:spacing w:after="120"/>
        <w:contextualSpacing w:val="0"/>
        <w:rPr>
          <w:rFonts w:ascii="Times New Roman" w:hAnsi="Times New Roman" w:cs="Times New Roman"/>
        </w:rPr>
      </w:pPr>
      <w:r w:rsidRPr="003E1BFE">
        <w:rPr>
          <w:rFonts w:ascii="Times New Roman" w:hAnsi="Times New Roman" w:cs="Times New Roman"/>
        </w:rPr>
        <w:t>design quality.</w:t>
      </w:r>
    </w:p>
    <w:p w:rsidR="006C02BF" w:rsidRPr="003E1BFE" w:rsidRDefault="006C02BF" w:rsidP="00AE2EB3">
      <w:pPr>
        <w:spacing w:after="120"/>
        <w:ind w:left="720"/>
        <w:rPr>
          <w:rFonts w:cs="Times New Roman"/>
        </w:rPr>
      </w:pPr>
      <w:r w:rsidRPr="003E1BFE">
        <w:rPr>
          <w:rFonts w:cs="Times New Roman"/>
        </w:rPr>
        <w:lastRenderedPageBreak/>
        <w:t xml:space="preserve">Detailed conditions of planning, design and development must be prepared in the context of a strategic planning exercise for the Adelaide Avenue/Yarra Glen corridor, and are subject to public consultation. </w:t>
      </w:r>
    </w:p>
    <w:p w:rsidR="003272F2" w:rsidRDefault="00484DFD" w:rsidP="00AE2EB3">
      <w:pPr>
        <w:pStyle w:val="ItemHead"/>
        <w:spacing w:after="120"/>
      </w:pPr>
      <w:r>
        <w:t>22</w:t>
      </w:r>
      <w:r w:rsidR="003E1BFE">
        <w:t xml:space="preserve">  Section 4.19.1 Design and Siting General Code – Application</w:t>
      </w:r>
    </w:p>
    <w:p w:rsidR="003272F2" w:rsidRDefault="003272F2" w:rsidP="00AE2EB3">
      <w:pPr>
        <w:spacing w:after="120"/>
        <w:ind w:firstLine="360"/>
        <w:rPr>
          <w:rFonts w:cs="Times New Roman"/>
        </w:rPr>
      </w:pPr>
      <w:r>
        <w:rPr>
          <w:rFonts w:cs="Times New Roman"/>
        </w:rPr>
        <w:t>Omit:</w:t>
      </w:r>
    </w:p>
    <w:p w:rsidR="003272F2" w:rsidRPr="00591A4E" w:rsidRDefault="003272F2" w:rsidP="00AE2EB3">
      <w:pPr>
        <w:pStyle w:val="ListParagraph"/>
        <w:numPr>
          <w:ilvl w:val="0"/>
          <w:numId w:val="26"/>
        </w:numPr>
        <w:spacing w:after="120"/>
        <w:contextualSpacing w:val="0"/>
        <w:rPr>
          <w:rFonts w:ascii="Times New Roman" w:hAnsi="Times New Roman" w:cs="Times New Roman"/>
        </w:rPr>
      </w:pPr>
      <w:r>
        <w:rPr>
          <w:rFonts w:ascii="Times New Roman" w:hAnsi="Times New Roman" w:cs="Times New Roman"/>
        </w:rPr>
        <w:t>Yarralumla, Deakin, Red Hill and O’Malley Diplomatic Precincts</w:t>
      </w:r>
    </w:p>
    <w:p w:rsidR="003272F2" w:rsidRDefault="003272F2" w:rsidP="00AE2EB3">
      <w:pPr>
        <w:spacing w:after="120"/>
        <w:ind w:firstLine="360"/>
        <w:rPr>
          <w:rFonts w:cs="Times New Roman"/>
        </w:rPr>
      </w:pPr>
      <w:r>
        <w:rPr>
          <w:rFonts w:cs="Times New Roman"/>
        </w:rPr>
        <w:t>Substitute:</w:t>
      </w:r>
    </w:p>
    <w:p w:rsidR="003F6F52" w:rsidRPr="003272F2" w:rsidRDefault="003272F2" w:rsidP="00AE2EB3">
      <w:pPr>
        <w:pStyle w:val="ListParagraph"/>
        <w:numPr>
          <w:ilvl w:val="0"/>
          <w:numId w:val="26"/>
        </w:numPr>
        <w:spacing w:after="120"/>
        <w:contextualSpacing w:val="0"/>
        <w:rPr>
          <w:rFonts w:ascii="Times New Roman" w:hAnsi="Times New Roman" w:cs="Times New Roman"/>
        </w:rPr>
      </w:pPr>
      <w:r>
        <w:rPr>
          <w:rFonts w:ascii="Times New Roman" w:hAnsi="Times New Roman" w:cs="Times New Roman"/>
        </w:rPr>
        <w:t>Yarralumla, Deakin, Red Hill, O’Malley and Curtin Diplomatic Precincts</w:t>
      </w:r>
    </w:p>
    <w:sectPr w:rsidR="003F6F52" w:rsidRPr="003272F2" w:rsidSect="00B20990">
      <w:headerReference w:type="even" r:id="rId26"/>
      <w:headerReference w:type="default" r:id="rId27"/>
      <w:footerReference w:type="even" r:id="rId28"/>
      <w:footerReference w:type="default" r:id="rId29"/>
      <w:footerReference w:type="first" r:id="rId30"/>
      <w:pgSz w:w="11907" w:h="16839"/>
      <w:pgMar w:top="1673" w:right="1797" w:bottom="1440" w:left="1797" w:header="720"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643E" w:rsidRDefault="00A2643E" w:rsidP="0048364F">
      <w:pPr>
        <w:spacing w:line="240" w:lineRule="auto"/>
      </w:pPr>
      <w:r>
        <w:separator/>
      </w:r>
    </w:p>
  </w:endnote>
  <w:endnote w:type="continuationSeparator" w:id="0">
    <w:p w:rsidR="00A2643E" w:rsidRDefault="00A2643E" w:rsidP="004836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9"/>
    </w:tblGrid>
    <w:tr w:rsidR="009278C1" w:rsidTr="0001176A">
      <w:tc>
        <w:tcPr>
          <w:tcW w:w="5000" w:type="pct"/>
        </w:tcPr>
        <w:p w:rsidR="009278C1" w:rsidRDefault="009278C1" w:rsidP="0001176A">
          <w:pPr>
            <w:rPr>
              <w:sz w:val="18"/>
            </w:rPr>
          </w:pPr>
        </w:p>
      </w:tc>
    </w:tr>
  </w:tbl>
  <w:p w:rsidR="00B20990" w:rsidRPr="005F1388" w:rsidRDefault="00B20990" w:rsidP="00685F42">
    <w:pPr>
      <w:pStyle w:val="Footer"/>
      <w:tabs>
        <w:tab w:val="clear" w:pos="4153"/>
        <w:tab w:val="clear" w:pos="8306"/>
        <w:tab w:val="center" w:pos="4150"/>
        <w:tab w:val="right" w:pos="8307"/>
      </w:tabs>
      <w:spacing w:before="120"/>
      <w:jc w:val="right"/>
      <w:rPr>
        <w:i/>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9"/>
    </w:tblGrid>
    <w:tr w:rsidR="00B20990" w:rsidTr="00C160A1">
      <w:tc>
        <w:tcPr>
          <w:tcW w:w="5000" w:type="pct"/>
        </w:tcPr>
        <w:p w:rsidR="00B20990" w:rsidRDefault="00B20990" w:rsidP="007946FE">
          <w:pPr>
            <w:rPr>
              <w:sz w:val="18"/>
            </w:rPr>
          </w:pPr>
        </w:p>
      </w:tc>
    </w:tr>
  </w:tbl>
  <w:p w:rsidR="00B20990" w:rsidRPr="006D3667" w:rsidRDefault="00B20990" w:rsidP="006D36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990" w:rsidRDefault="00B20990" w:rsidP="00486382">
    <w:pPr>
      <w:pStyle w:val="Foo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9"/>
    </w:tblGrid>
    <w:tr w:rsidR="00B20990" w:rsidTr="00C160A1">
      <w:tc>
        <w:tcPr>
          <w:tcW w:w="5000" w:type="pct"/>
        </w:tcPr>
        <w:p w:rsidR="00B20990" w:rsidRDefault="00B20990" w:rsidP="00465764">
          <w:pPr>
            <w:rPr>
              <w:sz w:val="18"/>
            </w:rPr>
          </w:pPr>
        </w:p>
      </w:tc>
    </w:tr>
  </w:tbl>
  <w:p w:rsidR="00B20990" w:rsidRPr="00486382" w:rsidRDefault="00B20990" w:rsidP="009278C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990" w:rsidRPr="00E33C1C" w:rsidRDefault="00B20990" w:rsidP="002B5B89">
    <w:pPr>
      <w:pBdr>
        <w:top w:val="single" w:sz="6" w:space="1" w:color="auto"/>
      </w:pBdr>
      <w:spacing w:before="120" w:line="0" w:lineRule="atLeast"/>
      <w:rPr>
        <w:sz w:val="16"/>
        <w:szCs w:val="16"/>
      </w:rPr>
    </w:pPr>
  </w:p>
  <w:tbl>
    <w:tblPr>
      <w:tblStyle w:val="TableGrid"/>
      <w:tblW w:w="5000" w:type="pct"/>
      <w:tblLook w:val="04A0" w:firstRow="1" w:lastRow="0" w:firstColumn="1" w:lastColumn="0" w:noHBand="0" w:noVBand="1"/>
    </w:tblPr>
    <w:tblGrid>
      <w:gridCol w:w="623"/>
      <w:gridCol w:w="6291"/>
      <w:gridCol w:w="1615"/>
    </w:tblGrid>
    <w:tr w:rsidR="00B20990" w:rsidTr="00C160A1">
      <w:tc>
        <w:tcPr>
          <w:tcW w:w="365" w:type="pct"/>
          <w:tcBorders>
            <w:top w:val="nil"/>
            <w:left w:val="nil"/>
            <w:bottom w:val="nil"/>
            <w:right w:val="nil"/>
          </w:tcBorders>
        </w:tcPr>
        <w:p w:rsidR="00B20990" w:rsidRDefault="00B20990" w:rsidP="00E33C1C">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ii</w:t>
          </w:r>
          <w:r w:rsidRPr="00ED79B6">
            <w:rPr>
              <w:i/>
              <w:sz w:val="18"/>
            </w:rPr>
            <w:fldChar w:fldCharType="end"/>
          </w:r>
        </w:p>
      </w:tc>
      <w:tc>
        <w:tcPr>
          <w:tcW w:w="3688" w:type="pct"/>
          <w:tcBorders>
            <w:top w:val="nil"/>
            <w:left w:val="nil"/>
            <w:bottom w:val="nil"/>
            <w:right w:val="nil"/>
          </w:tcBorders>
        </w:tcPr>
        <w:p w:rsidR="00B20990" w:rsidRDefault="00B20990" w:rsidP="00E33C1C">
          <w:pPr>
            <w:spacing w:line="0" w:lineRule="atLeast"/>
            <w:jc w:val="center"/>
            <w:rPr>
              <w:sz w:val="18"/>
            </w:rPr>
          </w:pPr>
          <w:r w:rsidRPr="00B20990">
            <w:rPr>
              <w:i/>
              <w:sz w:val="18"/>
            </w:rPr>
            <w:fldChar w:fldCharType="begin"/>
          </w:r>
          <w:r w:rsidRPr="00B20990">
            <w:rPr>
              <w:i/>
              <w:sz w:val="18"/>
            </w:rPr>
            <w:instrText xml:space="preserve"> STYLEREF  ShortT </w:instrText>
          </w:r>
          <w:r w:rsidRPr="00B20990">
            <w:rPr>
              <w:i/>
              <w:sz w:val="18"/>
            </w:rPr>
            <w:fldChar w:fldCharType="separate"/>
          </w:r>
          <w:r w:rsidR="00A2643E">
            <w:rPr>
              <w:i/>
              <w:noProof/>
              <w:sz w:val="18"/>
            </w:rPr>
            <w:t>Instrument Name Amendment (Subject Matter) Kind of Instrument Year</w:t>
          </w:r>
          <w:r w:rsidRPr="00B20990">
            <w:rPr>
              <w:i/>
              <w:sz w:val="18"/>
            </w:rPr>
            <w:fldChar w:fldCharType="end"/>
          </w:r>
        </w:p>
      </w:tc>
      <w:tc>
        <w:tcPr>
          <w:tcW w:w="947" w:type="pct"/>
          <w:tcBorders>
            <w:top w:val="nil"/>
            <w:left w:val="nil"/>
            <w:bottom w:val="nil"/>
            <w:right w:val="nil"/>
          </w:tcBorders>
        </w:tcPr>
        <w:p w:rsidR="00B20990" w:rsidRDefault="00B20990" w:rsidP="00E33C1C">
          <w:pPr>
            <w:spacing w:line="0" w:lineRule="atLeast"/>
            <w:jc w:val="right"/>
            <w:rPr>
              <w:sz w:val="18"/>
            </w:rPr>
          </w:pPr>
        </w:p>
      </w:tc>
    </w:tr>
    <w:tr w:rsidR="00B20990" w:rsidTr="00C160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3"/>
        </w:tcPr>
        <w:p w:rsidR="00B20990" w:rsidRDefault="00B20990" w:rsidP="007946FE">
          <w:pPr>
            <w:jc w:val="right"/>
            <w:rPr>
              <w:sz w:val="18"/>
            </w:rPr>
          </w:pPr>
        </w:p>
      </w:tc>
    </w:tr>
  </w:tbl>
  <w:p w:rsidR="00B20990" w:rsidRPr="00ED79B6" w:rsidRDefault="00B20990" w:rsidP="006D3667">
    <w:pPr>
      <w:rPr>
        <w:i/>
        <w:sz w:val="18"/>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990" w:rsidRPr="00E33C1C" w:rsidRDefault="00B20990" w:rsidP="001F6924">
    <w:pPr>
      <w:pBdr>
        <w:top w:val="single" w:sz="6" w:space="1" w:color="auto"/>
      </w:pBdr>
      <w:spacing w:before="120" w:line="0" w:lineRule="atLeast"/>
      <w:rPr>
        <w:sz w:val="16"/>
        <w:szCs w:val="16"/>
      </w:rPr>
    </w:pPr>
  </w:p>
  <w:tbl>
    <w:tblPr>
      <w:tblStyle w:val="TableGrid"/>
      <w:tblW w:w="5000" w:type="pct"/>
      <w:tblLook w:val="04A0" w:firstRow="1" w:lastRow="0" w:firstColumn="1" w:lastColumn="0" w:noHBand="0" w:noVBand="1"/>
    </w:tblPr>
    <w:tblGrid>
      <w:gridCol w:w="1615"/>
      <w:gridCol w:w="6291"/>
      <w:gridCol w:w="623"/>
    </w:tblGrid>
    <w:tr w:rsidR="00B20990" w:rsidTr="00C160A1">
      <w:tc>
        <w:tcPr>
          <w:tcW w:w="947" w:type="pct"/>
          <w:tcBorders>
            <w:top w:val="nil"/>
            <w:left w:val="nil"/>
            <w:bottom w:val="nil"/>
            <w:right w:val="nil"/>
          </w:tcBorders>
        </w:tcPr>
        <w:p w:rsidR="00B20990" w:rsidRDefault="00B20990" w:rsidP="00E33C1C">
          <w:pPr>
            <w:spacing w:line="0" w:lineRule="atLeast"/>
            <w:rPr>
              <w:sz w:val="18"/>
            </w:rPr>
          </w:pPr>
        </w:p>
      </w:tc>
      <w:tc>
        <w:tcPr>
          <w:tcW w:w="3688" w:type="pct"/>
          <w:tcBorders>
            <w:top w:val="nil"/>
            <w:left w:val="nil"/>
            <w:bottom w:val="nil"/>
            <w:right w:val="nil"/>
          </w:tcBorders>
        </w:tcPr>
        <w:p w:rsidR="00B20990" w:rsidRPr="00B20990" w:rsidRDefault="00490FB4" w:rsidP="00E33C1C">
          <w:pPr>
            <w:spacing w:line="0" w:lineRule="atLeast"/>
            <w:jc w:val="center"/>
            <w:rPr>
              <w:i/>
              <w:sz w:val="18"/>
            </w:rPr>
          </w:pPr>
          <w:r>
            <w:rPr>
              <w:i/>
              <w:sz w:val="18"/>
            </w:rPr>
            <w:t xml:space="preserve">National Capital Plan Amendment (No. 95 – North Curtin Diplomatic Estate and Urban Area) </w:t>
          </w:r>
          <w:r w:rsidR="00B20990" w:rsidRPr="00B20990">
            <w:rPr>
              <w:i/>
              <w:sz w:val="18"/>
            </w:rPr>
            <w:fldChar w:fldCharType="begin"/>
          </w:r>
          <w:r w:rsidR="00B20990" w:rsidRPr="00B20990">
            <w:rPr>
              <w:i/>
              <w:sz w:val="18"/>
            </w:rPr>
            <w:instrText xml:space="preserve"> STYLEREF  ShortT </w:instrText>
          </w:r>
          <w:r w:rsidR="00B20990" w:rsidRPr="00B20990">
            <w:rPr>
              <w:i/>
              <w:sz w:val="18"/>
            </w:rPr>
            <w:fldChar w:fldCharType="separate"/>
          </w:r>
          <w:r w:rsidR="00D1333D">
            <w:rPr>
              <w:i/>
              <w:noProof/>
              <w:sz w:val="18"/>
            </w:rPr>
            <w:t>National Capital Plan Amendment (No. 95 – North Curtin Diplomatic Estate and Urban Area) Amending Instrument 2020</w:t>
          </w:r>
          <w:r w:rsidR="00B20990" w:rsidRPr="00B20990">
            <w:rPr>
              <w:i/>
              <w:sz w:val="18"/>
            </w:rPr>
            <w:fldChar w:fldCharType="end"/>
          </w:r>
        </w:p>
      </w:tc>
      <w:tc>
        <w:tcPr>
          <w:tcW w:w="365" w:type="pct"/>
          <w:tcBorders>
            <w:top w:val="nil"/>
            <w:left w:val="nil"/>
            <w:bottom w:val="nil"/>
            <w:right w:val="nil"/>
          </w:tcBorders>
        </w:tcPr>
        <w:p w:rsidR="00B20990" w:rsidRDefault="00B20990" w:rsidP="00E33C1C">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D1333D">
            <w:rPr>
              <w:i/>
              <w:noProof/>
              <w:sz w:val="18"/>
            </w:rPr>
            <w:t>i</w:t>
          </w:r>
          <w:r w:rsidRPr="00ED79B6">
            <w:rPr>
              <w:i/>
              <w:sz w:val="18"/>
            </w:rPr>
            <w:fldChar w:fldCharType="end"/>
          </w:r>
        </w:p>
      </w:tc>
    </w:tr>
    <w:tr w:rsidR="00B20990" w:rsidTr="00C160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3"/>
        </w:tcPr>
        <w:p w:rsidR="00B20990" w:rsidRDefault="00B20990" w:rsidP="007946FE">
          <w:pPr>
            <w:rPr>
              <w:sz w:val="18"/>
            </w:rPr>
          </w:pPr>
        </w:p>
      </w:tc>
    </w:tr>
  </w:tbl>
  <w:p w:rsidR="00B20990" w:rsidRPr="00ED79B6" w:rsidRDefault="00B20990" w:rsidP="006D3667">
    <w:pPr>
      <w:rPr>
        <w:i/>
        <w:sz w:val="1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7E8" w:rsidRPr="00E33C1C" w:rsidRDefault="00EE57E8" w:rsidP="009C5989">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EE57E8" w:rsidTr="007A6863">
      <w:tc>
        <w:tcPr>
          <w:tcW w:w="709" w:type="dxa"/>
          <w:tcBorders>
            <w:top w:val="nil"/>
            <w:left w:val="nil"/>
            <w:bottom w:val="nil"/>
            <w:right w:val="nil"/>
          </w:tcBorders>
        </w:tcPr>
        <w:p w:rsidR="00EE57E8" w:rsidRDefault="00EE57E8" w:rsidP="00EE57E8">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D1333D">
            <w:rPr>
              <w:i/>
              <w:noProof/>
              <w:sz w:val="18"/>
            </w:rPr>
            <w:t>16</w:t>
          </w:r>
          <w:r w:rsidRPr="00ED79B6">
            <w:rPr>
              <w:i/>
              <w:sz w:val="18"/>
            </w:rPr>
            <w:fldChar w:fldCharType="end"/>
          </w:r>
        </w:p>
      </w:tc>
      <w:tc>
        <w:tcPr>
          <w:tcW w:w="6379" w:type="dxa"/>
          <w:tcBorders>
            <w:top w:val="nil"/>
            <w:left w:val="nil"/>
            <w:bottom w:val="nil"/>
            <w:right w:val="nil"/>
          </w:tcBorders>
        </w:tcPr>
        <w:p w:rsidR="00EE57E8" w:rsidRDefault="0012376A" w:rsidP="00EE57E8">
          <w:pPr>
            <w:spacing w:line="0" w:lineRule="atLeast"/>
            <w:jc w:val="center"/>
            <w:rPr>
              <w:sz w:val="18"/>
            </w:rPr>
          </w:pPr>
          <w:r>
            <w:rPr>
              <w:i/>
              <w:sz w:val="18"/>
            </w:rPr>
            <w:t xml:space="preserve">National Capital Plan Amendment (No. 95 – North Curtin Diplomatic Estate and Urban Area) </w:t>
          </w:r>
          <w:r w:rsidRPr="00B20990">
            <w:rPr>
              <w:i/>
              <w:sz w:val="18"/>
            </w:rPr>
            <w:fldChar w:fldCharType="begin"/>
          </w:r>
          <w:r w:rsidRPr="00B20990">
            <w:rPr>
              <w:i/>
              <w:sz w:val="18"/>
            </w:rPr>
            <w:instrText xml:space="preserve"> STYLEREF  ShortT </w:instrText>
          </w:r>
          <w:r w:rsidRPr="00B20990">
            <w:rPr>
              <w:i/>
              <w:sz w:val="18"/>
            </w:rPr>
            <w:fldChar w:fldCharType="separate"/>
          </w:r>
          <w:r w:rsidR="00D1333D">
            <w:rPr>
              <w:i/>
              <w:noProof/>
              <w:sz w:val="18"/>
            </w:rPr>
            <w:t>National Capital Plan Amendment (No. 95 – North Curtin Diplomatic Estate and Urban Area) Amending Instrument 2020</w:t>
          </w:r>
          <w:r w:rsidRPr="00B20990">
            <w:rPr>
              <w:i/>
              <w:sz w:val="18"/>
            </w:rPr>
            <w:fldChar w:fldCharType="end"/>
          </w:r>
        </w:p>
      </w:tc>
      <w:tc>
        <w:tcPr>
          <w:tcW w:w="1383" w:type="dxa"/>
          <w:tcBorders>
            <w:top w:val="nil"/>
            <w:left w:val="nil"/>
            <w:bottom w:val="nil"/>
            <w:right w:val="nil"/>
          </w:tcBorders>
        </w:tcPr>
        <w:p w:rsidR="00EE57E8" w:rsidRDefault="00EE57E8" w:rsidP="00EE57E8">
          <w:pPr>
            <w:spacing w:line="0" w:lineRule="atLeast"/>
            <w:jc w:val="right"/>
            <w:rPr>
              <w:sz w:val="18"/>
            </w:rPr>
          </w:pPr>
        </w:p>
      </w:tc>
    </w:tr>
    <w:tr w:rsidR="00EE57E8" w:rsidTr="007A68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rsidR="00EE57E8" w:rsidRDefault="00EE57E8" w:rsidP="00EE57E8">
          <w:pPr>
            <w:jc w:val="right"/>
            <w:rPr>
              <w:sz w:val="18"/>
            </w:rPr>
          </w:pPr>
        </w:p>
      </w:tc>
    </w:tr>
  </w:tbl>
  <w:p w:rsidR="00EE57E8" w:rsidRPr="00ED79B6" w:rsidRDefault="00EE57E8" w:rsidP="00A136F5">
    <w:pPr>
      <w:rPr>
        <w:i/>
        <w:sz w:val="18"/>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7E8" w:rsidRPr="00E33C1C" w:rsidRDefault="00EE57E8" w:rsidP="009C5989">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1384"/>
      <w:gridCol w:w="6379"/>
      <w:gridCol w:w="709"/>
    </w:tblGrid>
    <w:tr w:rsidR="00EE57E8" w:rsidTr="00EE57E8">
      <w:tc>
        <w:tcPr>
          <w:tcW w:w="1384" w:type="dxa"/>
          <w:tcBorders>
            <w:top w:val="nil"/>
            <w:left w:val="nil"/>
            <w:bottom w:val="nil"/>
            <w:right w:val="nil"/>
          </w:tcBorders>
        </w:tcPr>
        <w:p w:rsidR="00EE57E8" w:rsidRDefault="00EE57E8" w:rsidP="00EE57E8">
          <w:pPr>
            <w:spacing w:line="0" w:lineRule="atLeast"/>
            <w:rPr>
              <w:sz w:val="18"/>
            </w:rPr>
          </w:pPr>
        </w:p>
      </w:tc>
      <w:tc>
        <w:tcPr>
          <w:tcW w:w="6379" w:type="dxa"/>
          <w:tcBorders>
            <w:top w:val="nil"/>
            <w:left w:val="nil"/>
            <w:bottom w:val="nil"/>
            <w:right w:val="nil"/>
          </w:tcBorders>
        </w:tcPr>
        <w:p w:rsidR="00EE57E8" w:rsidRDefault="0012376A" w:rsidP="00EE57E8">
          <w:pPr>
            <w:spacing w:line="0" w:lineRule="atLeast"/>
            <w:jc w:val="center"/>
            <w:rPr>
              <w:sz w:val="18"/>
            </w:rPr>
          </w:pPr>
          <w:r>
            <w:rPr>
              <w:i/>
              <w:sz w:val="18"/>
            </w:rPr>
            <w:t xml:space="preserve">National Capital Plan Amendment (No. 95 – North Curtin Diplomatic Estate and Urban Area) </w:t>
          </w:r>
          <w:r w:rsidRPr="00B20990">
            <w:rPr>
              <w:i/>
              <w:sz w:val="18"/>
            </w:rPr>
            <w:fldChar w:fldCharType="begin"/>
          </w:r>
          <w:r w:rsidRPr="00B20990">
            <w:rPr>
              <w:i/>
              <w:sz w:val="18"/>
            </w:rPr>
            <w:instrText xml:space="preserve"> STYLEREF  ShortT </w:instrText>
          </w:r>
          <w:r w:rsidRPr="00B20990">
            <w:rPr>
              <w:i/>
              <w:sz w:val="18"/>
            </w:rPr>
            <w:fldChar w:fldCharType="separate"/>
          </w:r>
          <w:r w:rsidR="00D1333D">
            <w:rPr>
              <w:i/>
              <w:noProof/>
              <w:sz w:val="18"/>
            </w:rPr>
            <w:t>National Capital Plan Amendment (No. 95 – North Curtin Diplomatic Estate and Urban Area) Amending Instrument 2020</w:t>
          </w:r>
          <w:r w:rsidRPr="00B20990">
            <w:rPr>
              <w:i/>
              <w:sz w:val="18"/>
            </w:rPr>
            <w:fldChar w:fldCharType="end"/>
          </w:r>
        </w:p>
      </w:tc>
      <w:tc>
        <w:tcPr>
          <w:tcW w:w="709" w:type="dxa"/>
          <w:tcBorders>
            <w:top w:val="nil"/>
            <w:left w:val="nil"/>
            <w:bottom w:val="nil"/>
            <w:right w:val="nil"/>
          </w:tcBorders>
        </w:tcPr>
        <w:p w:rsidR="00EE57E8" w:rsidRDefault="00EE57E8" w:rsidP="00EE57E8">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D1333D">
            <w:rPr>
              <w:i/>
              <w:noProof/>
              <w:sz w:val="18"/>
            </w:rPr>
            <w:t>15</w:t>
          </w:r>
          <w:r w:rsidRPr="00ED79B6">
            <w:rPr>
              <w:i/>
              <w:sz w:val="18"/>
            </w:rPr>
            <w:fldChar w:fldCharType="end"/>
          </w:r>
        </w:p>
      </w:tc>
    </w:tr>
    <w:tr w:rsidR="00EE57E8" w:rsidTr="00EE57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rsidR="00EE57E8" w:rsidRDefault="00EE57E8" w:rsidP="00EE57E8">
          <w:pPr>
            <w:rPr>
              <w:sz w:val="18"/>
            </w:rPr>
          </w:pPr>
        </w:p>
      </w:tc>
    </w:tr>
  </w:tbl>
  <w:p w:rsidR="00EE57E8" w:rsidRPr="00ED79B6" w:rsidRDefault="00EE57E8" w:rsidP="007A6863">
    <w:pPr>
      <w:rPr>
        <w:i/>
        <w:sz w:val="18"/>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7E8" w:rsidRPr="00E33C1C" w:rsidRDefault="00EE57E8" w:rsidP="00A136F5">
    <w:pPr>
      <w:pBdr>
        <w:top w:val="single" w:sz="6" w:space="1" w:color="auto"/>
      </w:pBdr>
      <w:spacing w:line="0" w:lineRule="atLeast"/>
      <w:rPr>
        <w:sz w:val="16"/>
        <w:szCs w:val="16"/>
      </w:rPr>
    </w:pPr>
  </w:p>
  <w:tbl>
    <w:tblPr>
      <w:tblStyle w:val="TableGrid"/>
      <w:tblW w:w="0" w:type="auto"/>
      <w:tblLayout w:type="fixed"/>
      <w:tblLook w:val="04A0" w:firstRow="1" w:lastRow="0" w:firstColumn="1" w:lastColumn="0" w:noHBand="0" w:noVBand="1"/>
    </w:tblPr>
    <w:tblGrid>
      <w:gridCol w:w="1384"/>
      <w:gridCol w:w="6379"/>
      <w:gridCol w:w="709"/>
    </w:tblGrid>
    <w:tr w:rsidR="00EE57E8" w:rsidTr="007A6863">
      <w:tc>
        <w:tcPr>
          <w:tcW w:w="1384" w:type="dxa"/>
          <w:tcBorders>
            <w:top w:val="nil"/>
            <w:left w:val="nil"/>
            <w:bottom w:val="nil"/>
            <w:right w:val="nil"/>
          </w:tcBorders>
        </w:tcPr>
        <w:p w:rsidR="00EE57E8" w:rsidRDefault="00EE57E8" w:rsidP="00EE57E8">
          <w:pPr>
            <w:spacing w:line="0" w:lineRule="atLeast"/>
            <w:rPr>
              <w:sz w:val="18"/>
            </w:rPr>
          </w:pPr>
        </w:p>
      </w:tc>
      <w:tc>
        <w:tcPr>
          <w:tcW w:w="6379" w:type="dxa"/>
          <w:tcBorders>
            <w:top w:val="nil"/>
            <w:left w:val="nil"/>
            <w:bottom w:val="nil"/>
            <w:right w:val="nil"/>
          </w:tcBorders>
        </w:tcPr>
        <w:p w:rsidR="00EE57E8" w:rsidRDefault="00EE57E8" w:rsidP="00EE57E8">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A2643E">
            <w:rPr>
              <w:b/>
              <w:bCs/>
              <w:i/>
              <w:sz w:val="18"/>
              <w:lang w:val="en-US"/>
            </w:rPr>
            <w:t>Error! Unknown document property name.</w:t>
          </w:r>
          <w:r w:rsidRPr="007A1328">
            <w:rPr>
              <w:i/>
              <w:sz w:val="18"/>
            </w:rPr>
            <w:fldChar w:fldCharType="end"/>
          </w:r>
        </w:p>
      </w:tc>
      <w:tc>
        <w:tcPr>
          <w:tcW w:w="709" w:type="dxa"/>
          <w:tcBorders>
            <w:top w:val="nil"/>
            <w:left w:val="nil"/>
            <w:bottom w:val="nil"/>
            <w:right w:val="nil"/>
          </w:tcBorders>
        </w:tcPr>
        <w:p w:rsidR="00EE57E8" w:rsidRDefault="00EE57E8" w:rsidP="00EE57E8">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717463">
            <w:rPr>
              <w:i/>
              <w:noProof/>
              <w:sz w:val="18"/>
            </w:rPr>
            <w:t>3</w:t>
          </w:r>
          <w:r w:rsidRPr="00ED79B6">
            <w:rPr>
              <w:i/>
              <w:sz w:val="18"/>
            </w:rPr>
            <w:fldChar w:fldCharType="end"/>
          </w:r>
        </w:p>
      </w:tc>
    </w:tr>
    <w:tr w:rsidR="00EE57E8" w:rsidTr="007A68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rsidR="00EE57E8" w:rsidRDefault="00EE57E8" w:rsidP="00EE57E8">
          <w:pPr>
            <w:rPr>
              <w:sz w:val="18"/>
            </w:rPr>
          </w:pPr>
          <w:r w:rsidRPr="00ED79B6">
            <w:rPr>
              <w:i/>
              <w:sz w:val="18"/>
            </w:rPr>
            <w:fldChar w:fldCharType="begin"/>
          </w:r>
          <w:r w:rsidRPr="00ED79B6">
            <w:rPr>
              <w:i/>
              <w:sz w:val="18"/>
            </w:rPr>
            <w:instrText xml:space="preserve"> FILENAME \p </w:instrText>
          </w:r>
          <w:r w:rsidRPr="00ED79B6">
            <w:rPr>
              <w:i/>
              <w:sz w:val="18"/>
            </w:rPr>
            <w:fldChar w:fldCharType="separate"/>
          </w:r>
          <w:r w:rsidR="00A2643E">
            <w:rPr>
              <w:i/>
              <w:noProof/>
              <w:sz w:val="18"/>
            </w:rPr>
            <w:t>Document1</w:t>
          </w:r>
          <w:r w:rsidRPr="00ED79B6">
            <w:rPr>
              <w:i/>
              <w:sz w:val="18"/>
            </w:rPr>
            <w:fldChar w:fldCharType="end"/>
          </w:r>
          <w:r w:rsidRPr="00ED79B6">
            <w:rPr>
              <w:i/>
              <w:sz w:val="18"/>
            </w:rPr>
            <w:t xml:space="preserve"> </w:t>
          </w:r>
          <w:r w:rsidRPr="00ED79B6">
            <w:rPr>
              <w:i/>
              <w:sz w:val="18"/>
            </w:rPr>
            <w:fldChar w:fldCharType="begin"/>
          </w:r>
          <w:r w:rsidRPr="00ED79B6">
            <w:rPr>
              <w:i/>
              <w:sz w:val="18"/>
            </w:rPr>
            <w:instrText xml:space="preserve"> TIME \@ "d/M/yyyy h:mm AM/PM" </w:instrText>
          </w:r>
          <w:r w:rsidRPr="00ED79B6">
            <w:rPr>
              <w:i/>
              <w:sz w:val="18"/>
            </w:rPr>
            <w:fldChar w:fldCharType="separate"/>
          </w:r>
          <w:r w:rsidR="00466171">
            <w:rPr>
              <w:i/>
              <w:noProof/>
              <w:sz w:val="18"/>
            </w:rPr>
            <w:t>27/10/2020 11:39 AM</w:t>
          </w:r>
          <w:r w:rsidRPr="00ED79B6">
            <w:rPr>
              <w:i/>
              <w:sz w:val="18"/>
            </w:rPr>
            <w:fldChar w:fldCharType="end"/>
          </w:r>
        </w:p>
      </w:tc>
    </w:tr>
  </w:tbl>
  <w:p w:rsidR="00EE57E8" w:rsidRPr="00ED79B6" w:rsidRDefault="00EE57E8" w:rsidP="00A136F5">
    <w:pPr>
      <w:rPr>
        <w: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643E" w:rsidRDefault="00A2643E" w:rsidP="0048364F">
      <w:pPr>
        <w:spacing w:line="240" w:lineRule="auto"/>
      </w:pPr>
      <w:r>
        <w:separator/>
      </w:r>
    </w:p>
  </w:footnote>
  <w:footnote w:type="continuationSeparator" w:id="0">
    <w:p w:rsidR="00A2643E" w:rsidRDefault="00A2643E" w:rsidP="004836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990" w:rsidRPr="005F1388" w:rsidRDefault="00B20990" w:rsidP="0048364F">
    <w:pPr>
      <w:pStyle w:val="Header"/>
      <w:tabs>
        <w:tab w:val="clear" w:pos="4150"/>
        <w:tab w:val="clear" w:pos="8307"/>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990" w:rsidRPr="005F1388" w:rsidRDefault="00B20990" w:rsidP="0048364F">
    <w:pPr>
      <w:pStyle w:val="Header"/>
      <w:tabs>
        <w:tab w:val="clear" w:pos="4150"/>
        <w:tab w:val="clear" w:pos="8307"/>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990" w:rsidRPr="005F1388" w:rsidRDefault="00B20990" w:rsidP="0048364F">
    <w:pPr>
      <w:pStyle w:val="Header"/>
      <w:tabs>
        <w:tab w:val="clear" w:pos="4150"/>
        <w:tab w:val="clear" w:pos="8307"/>
      </w:tab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990" w:rsidRPr="00ED79B6" w:rsidRDefault="00B20990" w:rsidP="00833416">
    <w:pPr>
      <w:pBdr>
        <w:bottom w:val="single" w:sz="4" w:space="1" w:color="auto"/>
      </w:pBdr>
      <w:spacing w:before="100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990" w:rsidRPr="00ED79B6" w:rsidRDefault="00B20990" w:rsidP="00486382">
    <w:pPr>
      <w:pBdr>
        <w:bottom w:val="single" w:sz="4" w:space="1" w:color="auto"/>
      </w:pBdr>
      <w:spacing w:before="100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990" w:rsidRPr="00ED79B6" w:rsidRDefault="00B20990" w:rsidP="0048364F">
    <w:pPr>
      <w:pStyle w:val="Header"/>
      <w:tabs>
        <w:tab w:val="clear" w:pos="4150"/>
        <w:tab w:val="clear" w:pos="8307"/>
      </w:tabs>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7E8" w:rsidRPr="00A961C4" w:rsidRDefault="00EE57E8" w:rsidP="0048364F">
    <w:pPr>
      <w:rPr>
        <w:b/>
        <w:sz w:val="20"/>
      </w:rPr>
    </w:pPr>
  </w:p>
  <w:p w:rsidR="00EE57E8" w:rsidRPr="00A961C4" w:rsidRDefault="00EE57E8" w:rsidP="0048364F">
    <w:pPr>
      <w:rPr>
        <w:b/>
        <w:sz w:val="20"/>
      </w:rPr>
    </w:pPr>
  </w:p>
  <w:p w:rsidR="00EE57E8" w:rsidRPr="00A961C4" w:rsidRDefault="00EE57E8" w:rsidP="007F48ED">
    <w:pPr>
      <w:pBdr>
        <w:bottom w:val="single" w:sz="6" w:space="1" w:color="auto"/>
      </w:pBdr>
      <w:spacing w:after="120"/>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7E8" w:rsidRPr="00A961C4" w:rsidRDefault="00EE57E8" w:rsidP="0048364F">
    <w:pPr>
      <w:jc w:val="right"/>
      <w:rPr>
        <w:sz w:val="20"/>
      </w:rPr>
    </w:pPr>
  </w:p>
  <w:p w:rsidR="00EE57E8" w:rsidRPr="00A961C4" w:rsidRDefault="00EE57E8" w:rsidP="0048364F">
    <w:pPr>
      <w:jc w:val="right"/>
      <w:rPr>
        <w:b/>
        <w:sz w:val="20"/>
      </w:rPr>
    </w:pPr>
  </w:p>
  <w:p w:rsidR="00EE57E8" w:rsidRPr="00A961C4" w:rsidRDefault="00EE57E8" w:rsidP="007F48ED">
    <w:pPr>
      <w:pBdr>
        <w:bottom w:val="single" w:sz="6" w:space="1" w:color="auto"/>
      </w:pBdr>
      <w:spacing w:after="12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B0A73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E88F0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C4F81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E8A5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2D0A5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21EDC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6226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B30103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7402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D5CBA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840EC3"/>
    <w:multiLevelType w:val="hybridMultilevel"/>
    <w:tmpl w:val="F156F3BC"/>
    <w:lvl w:ilvl="0" w:tplc="0C090019">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1" w15:restartNumberingAfterBreak="0">
    <w:nsid w:val="06800F7D"/>
    <w:multiLevelType w:val="hybridMultilevel"/>
    <w:tmpl w:val="5AD64C4C"/>
    <w:lvl w:ilvl="0" w:tplc="0C090001">
      <w:start w:val="1"/>
      <w:numFmt w:val="bullet"/>
      <w:lvlText w:val=""/>
      <w:lvlJc w:val="left"/>
      <w:pPr>
        <w:ind w:left="1069" w:hanging="360"/>
      </w:pPr>
      <w:rPr>
        <w:rFonts w:ascii="Symbol" w:hAnsi="Symbol"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2"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8F5FD1"/>
    <w:multiLevelType w:val="hybridMultilevel"/>
    <w:tmpl w:val="2D2405C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4" w15:restartNumberingAfterBreak="0">
    <w:nsid w:val="15D5315A"/>
    <w:multiLevelType w:val="hybridMultilevel"/>
    <w:tmpl w:val="27320D7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5"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41906D7"/>
    <w:multiLevelType w:val="hybridMultilevel"/>
    <w:tmpl w:val="47B09182"/>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7" w15:restartNumberingAfterBreak="0">
    <w:nsid w:val="29F01C47"/>
    <w:multiLevelType w:val="hybridMultilevel"/>
    <w:tmpl w:val="0666C0AC"/>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8" w15:restartNumberingAfterBreak="0">
    <w:nsid w:val="37E91884"/>
    <w:multiLevelType w:val="hybridMultilevel"/>
    <w:tmpl w:val="633210E2"/>
    <w:lvl w:ilvl="0" w:tplc="0C090001">
      <w:start w:val="1"/>
      <w:numFmt w:val="bullet"/>
      <w:lvlText w:val=""/>
      <w:lvlJc w:val="left"/>
      <w:pPr>
        <w:ind w:left="1425" w:hanging="360"/>
      </w:pPr>
      <w:rPr>
        <w:rFonts w:ascii="Symbol" w:hAnsi="Symbol" w:hint="default"/>
      </w:rPr>
    </w:lvl>
    <w:lvl w:ilvl="1" w:tplc="0C090003" w:tentative="1">
      <w:start w:val="1"/>
      <w:numFmt w:val="bullet"/>
      <w:lvlText w:val="o"/>
      <w:lvlJc w:val="left"/>
      <w:pPr>
        <w:ind w:left="2145" w:hanging="360"/>
      </w:pPr>
      <w:rPr>
        <w:rFonts w:ascii="Courier New" w:hAnsi="Courier New" w:cs="Courier New" w:hint="default"/>
      </w:rPr>
    </w:lvl>
    <w:lvl w:ilvl="2" w:tplc="0C090005" w:tentative="1">
      <w:start w:val="1"/>
      <w:numFmt w:val="bullet"/>
      <w:lvlText w:val=""/>
      <w:lvlJc w:val="left"/>
      <w:pPr>
        <w:ind w:left="2865" w:hanging="360"/>
      </w:pPr>
      <w:rPr>
        <w:rFonts w:ascii="Wingdings" w:hAnsi="Wingdings" w:hint="default"/>
      </w:rPr>
    </w:lvl>
    <w:lvl w:ilvl="3" w:tplc="0C090001" w:tentative="1">
      <w:start w:val="1"/>
      <w:numFmt w:val="bullet"/>
      <w:lvlText w:val=""/>
      <w:lvlJc w:val="left"/>
      <w:pPr>
        <w:ind w:left="3585" w:hanging="360"/>
      </w:pPr>
      <w:rPr>
        <w:rFonts w:ascii="Symbol" w:hAnsi="Symbol" w:hint="default"/>
      </w:rPr>
    </w:lvl>
    <w:lvl w:ilvl="4" w:tplc="0C090003" w:tentative="1">
      <w:start w:val="1"/>
      <w:numFmt w:val="bullet"/>
      <w:lvlText w:val="o"/>
      <w:lvlJc w:val="left"/>
      <w:pPr>
        <w:ind w:left="4305" w:hanging="360"/>
      </w:pPr>
      <w:rPr>
        <w:rFonts w:ascii="Courier New" w:hAnsi="Courier New" w:cs="Courier New" w:hint="default"/>
      </w:rPr>
    </w:lvl>
    <w:lvl w:ilvl="5" w:tplc="0C090005" w:tentative="1">
      <w:start w:val="1"/>
      <w:numFmt w:val="bullet"/>
      <w:lvlText w:val=""/>
      <w:lvlJc w:val="left"/>
      <w:pPr>
        <w:ind w:left="5025" w:hanging="360"/>
      </w:pPr>
      <w:rPr>
        <w:rFonts w:ascii="Wingdings" w:hAnsi="Wingdings" w:hint="default"/>
      </w:rPr>
    </w:lvl>
    <w:lvl w:ilvl="6" w:tplc="0C090001" w:tentative="1">
      <w:start w:val="1"/>
      <w:numFmt w:val="bullet"/>
      <w:lvlText w:val=""/>
      <w:lvlJc w:val="left"/>
      <w:pPr>
        <w:ind w:left="5745" w:hanging="360"/>
      </w:pPr>
      <w:rPr>
        <w:rFonts w:ascii="Symbol" w:hAnsi="Symbol" w:hint="default"/>
      </w:rPr>
    </w:lvl>
    <w:lvl w:ilvl="7" w:tplc="0C090003" w:tentative="1">
      <w:start w:val="1"/>
      <w:numFmt w:val="bullet"/>
      <w:lvlText w:val="o"/>
      <w:lvlJc w:val="left"/>
      <w:pPr>
        <w:ind w:left="6465" w:hanging="360"/>
      </w:pPr>
      <w:rPr>
        <w:rFonts w:ascii="Courier New" w:hAnsi="Courier New" w:cs="Courier New" w:hint="default"/>
      </w:rPr>
    </w:lvl>
    <w:lvl w:ilvl="8" w:tplc="0C090005" w:tentative="1">
      <w:start w:val="1"/>
      <w:numFmt w:val="bullet"/>
      <w:lvlText w:val=""/>
      <w:lvlJc w:val="left"/>
      <w:pPr>
        <w:ind w:left="7185" w:hanging="360"/>
      </w:pPr>
      <w:rPr>
        <w:rFonts w:ascii="Wingdings" w:hAnsi="Wingdings" w:hint="default"/>
      </w:rPr>
    </w:lvl>
  </w:abstractNum>
  <w:abstractNum w:abstractNumId="19"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0" w15:restartNumberingAfterBreak="0">
    <w:nsid w:val="42642951"/>
    <w:multiLevelType w:val="hybridMultilevel"/>
    <w:tmpl w:val="A31AAA0A"/>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start w:val="1"/>
      <w:numFmt w:val="bullet"/>
      <w:lvlText w:val=""/>
      <w:lvlJc w:val="left"/>
      <w:pPr>
        <w:ind w:left="2869" w:hanging="360"/>
      </w:pPr>
      <w:rPr>
        <w:rFonts w:ascii="Wingdings" w:hAnsi="Wingdings" w:hint="default"/>
      </w:rPr>
    </w:lvl>
    <w:lvl w:ilvl="3" w:tplc="0C090001">
      <w:start w:val="1"/>
      <w:numFmt w:val="bullet"/>
      <w:lvlText w:val=""/>
      <w:lvlJc w:val="left"/>
      <w:pPr>
        <w:ind w:left="3589" w:hanging="360"/>
      </w:pPr>
      <w:rPr>
        <w:rFonts w:ascii="Symbol" w:hAnsi="Symbol" w:hint="default"/>
      </w:rPr>
    </w:lvl>
    <w:lvl w:ilvl="4" w:tplc="0C090003">
      <w:start w:val="1"/>
      <w:numFmt w:val="bullet"/>
      <w:lvlText w:val="o"/>
      <w:lvlJc w:val="left"/>
      <w:pPr>
        <w:ind w:left="4309" w:hanging="360"/>
      </w:pPr>
      <w:rPr>
        <w:rFonts w:ascii="Courier New" w:hAnsi="Courier New" w:cs="Courier New" w:hint="default"/>
      </w:rPr>
    </w:lvl>
    <w:lvl w:ilvl="5" w:tplc="0C090005">
      <w:start w:val="1"/>
      <w:numFmt w:val="bullet"/>
      <w:lvlText w:val=""/>
      <w:lvlJc w:val="left"/>
      <w:pPr>
        <w:ind w:left="5029" w:hanging="360"/>
      </w:pPr>
      <w:rPr>
        <w:rFonts w:ascii="Wingdings" w:hAnsi="Wingdings" w:hint="default"/>
      </w:rPr>
    </w:lvl>
    <w:lvl w:ilvl="6" w:tplc="0C090001">
      <w:start w:val="1"/>
      <w:numFmt w:val="bullet"/>
      <w:lvlText w:val=""/>
      <w:lvlJc w:val="left"/>
      <w:pPr>
        <w:ind w:left="5749" w:hanging="360"/>
      </w:pPr>
      <w:rPr>
        <w:rFonts w:ascii="Symbol" w:hAnsi="Symbol" w:hint="default"/>
      </w:rPr>
    </w:lvl>
    <w:lvl w:ilvl="7" w:tplc="0C090003">
      <w:start w:val="1"/>
      <w:numFmt w:val="bullet"/>
      <w:lvlText w:val="o"/>
      <w:lvlJc w:val="left"/>
      <w:pPr>
        <w:ind w:left="6469" w:hanging="360"/>
      </w:pPr>
      <w:rPr>
        <w:rFonts w:ascii="Courier New" w:hAnsi="Courier New" w:cs="Courier New" w:hint="default"/>
      </w:rPr>
    </w:lvl>
    <w:lvl w:ilvl="8" w:tplc="0C090005">
      <w:start w:val="1"/>
      <w:numFmt w:val="bullet"/>
      <w:lvlText w:val=""/>
      <w:lvlJc w:val="left"/>
      <w:pPr>
        <w:ind w:left="7189" w:hanging="360"/>
      </w:pPr>
      <w:rPr>
        <w:rFonts w:ascii="Wingdings" w:hAnsi="Wingdings" w:hint="default"/>
      </w:rPr>
    </w:lvl>
  </w:abstractNum>
  <w:abstractNum w:abstractNumId="21" w15:restartNumberingAfterBreak="0">
    <w:nsid w:val="44827B37"/>
    <w:multiLevelType w:val="hybridMultilevel"/>
    <w:tmpl w:val="2C04F65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47A96E45"/>
    <w:multiLevelType w:val="hybridMultilevel"/>
    <w:tmpl w:val="542A5C7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3" w15:restartNumberingAfterBreak="0">
    <w:nsid w:val="5A606ED5"/>
    <w:multiLevelType w:val="hybridMultilevel"/>
    <w:tmpl w:val="467A479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6A2976DF"/>
    <w:multiLevelType w:val="hybridMultilevel"/>
    <w:tmpl w:val="5192AB4A"/>
    <w:lvl w:ilvl="0" w:tplc="0C090019">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25" w15:restartNumberingAfterBreak="0">
    <w:nsid w:val="6C8A3310"/>
    <w:multiLevelType w:val="hybridMultilevel"/>
    <w:tmpl w:val="FD5686A6"/>
    <w:lvl w:ilvl="0" w:tplc="0C090019">
      <w:start w:val="1"/>
      <w:numFmt w:val="lowerLetter"/>
      <w:lvlText w:val="%1."/>
      <w:lvlJc w:val="left"/>
      <w:pPr>
        <w:ind w:left="1069" w:hanging="360"/>
      </w:p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6" w15:restartNumberingAfterBreak="0">
    <w:nsid w:val="7C11713D"/>
    <w:multiLevelType w:val="hybridMultilevel"/>
    <w:tmpl w:val="7584AF54"/>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7D3954F6"/>
    <w:multiLevelType w:val="hybridMultilevel"/>
    <w:tmpl w:val="B0DC7CC6"/>
    <w:lvl w:ilvl="0" w:tplc="0C090019">
      <w:start w:val="1"/>
      <w:numFmt w:val="lowerLetter"/>
      <w:lvlText w:val="%1."/>
      <w:lvlJc w:val="left"/>
      <w:pPr>
        <w:ind w:left="1069" w:hanging="360"/>
      </w:p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12"/>
  </w:num>
  <w:num w:numId="13">
    <w:abstractNumId w:val="15"/>
  </w:num>
  <w:num w:numId="14">
    <w:abstractNumId w:val="13"/>
  </w:num>
  <w:num w:numId="15">
    <w:abstractNumId w:val="26"/>
  </w:num>
  <w:num w:numId="16">
    <w:abstractNumId w:val="16"/>
  </w:num>
  <w:num w:numId="17">
    <w:abstractNumId w:val="10"/>
  </w:num>
  <w:num w:numId="18">
    <w:abstractNumId w:val="27"/>
  </w:num>
  <w:num w:numId="19">
    <w:abstractNumId w:val="24"/>
  </w:num>
  <w:num w:numId="20">
    <w:abstractNumId w:val="25"/>
  </w:num>
  <w:num w:numId="21">
    <w:abstractNumId w:val="11"/>
  </w:num>
  <w:num w:numId="22">
    <w:abstractNumId w:val="23"/>
  </w:num>
  <w:num w:numId="23">
    <w:abstractNumId w:val="22"/>
  </w:num>
  <w:num w:numId="24">
    <w:abstractNumId w:val="14"/>
  </w:num>
  <w:num w:numId="25">
    <w:abstractNumId w:val="20"/>
  </w:num>
  <w:num w:numId="26">
    <w:abstractNumId w:val="21"/>
  </w:num>
  <w:num w:numId="27">
    <w:abstractNumId w:val="18"/>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43E"/>
    <w:rsid w:val="00000263"/>
    <w:rsid w:val="00002BCC"/>
    <w:rsid w:val="000113BC"/>
    <w:rsid w:val="000136AF"/>
    <w:rsid w:val="0004044E"/>
    <w:rsid w:val="0005120E"/>
    <w:rsid w:val="00054577"/>
    <w:rsid w:val="000614BF"/>
    <w:rsid w:val="0007169C"/>
    <w:rsid w:val="00077593"/>
    <w:rsid w:val="000813CC"/>
    <w:rsid w:val="00083F48"/>
    <w:rsid w:val="000844EC"/>
    <w:rsid w:val="000A479A"/>
    <w:rsid w:val="000A7DF9"/>
    <w:rsid w:val="000B0740"/>
    <w:rsid w:val="000D05EF"/>
    <w:rsid w:val="000D3FB9"/>
    <w:rsid w:val="000D5485"/>
    <w:rsid w:val="000E598E"/>
    <w:rsid w:val="000E5A3D"/>
    <w:rsid w:val="000F0ADA"/>
    <w:rsid w:val="000F21C1"/>
    <w:rsid w:val="0010745C"/>
    <w:rsid w:val="001122FF"/>
    <w:rsid w:val="0012376A"/>
    <w:rsid w:val="00160BD7"/>
    <w:rsid w:val="001643C9"/>
    <w:rsid w:val="00165568"/>
    <w:rsid w:val="00166082"/>
    <w:rsid w:val="00166C2F"/>
    <w:rsid w:val="001716C9"/>
    <w:rsid w:val="001826D9"/>
    <w:rsid w:val="00184261"/>
    <w:rsid w:val="00193461"/>
    <w:rsid w:val="001939E1"/>
    <w:rsid w:val="0019452E"/>
    <w:rsid w:val="00195382"/>
    <w:rsid w:val="001A3B9F"/>
    <w:rsid w:val="001A5520"/>
    <w:rsid w:val="001A65C0"/>
    <w:rsid w:val="001B6687"/>
    <w:rsid w:val="001B7A5D"/>
    <w:rsid w:val="001C69C4"/>
    <w:rsid w:val="001E0A8D"/>
    <w:rsid w:val="001E3590"/>
    <w:rsid w:val="001E7407"/>
    <w:rsid w:val="001F1A46"/>
    <w:rsid w:val="00201D27"/>
    <w:rsid w:val="002022E5"/>
    <w:rsid w:val="0021153A"/>
    <w:rsid w:val="002245A6"/>
    <w:rsid w:val="002302EA"/>
    <w:rsid w:val="00237614"/>
    <w:rsid w:val="00240749"/>
    <w:rsid w:val="002468D7"/>
    <w:rsid w:val="00247E97"/>
    <w:rsid w:val="00256C81"/>
    <w:rsid w:val="00285CDD"/>
    <w:rsid w:val="00291167"/>
    <w:rsid w:val="0029489E"/>
    <w:rsid w:val="00297ECB"/>
    <w:rsid w:val="002C152A"/>
    <w:rsid w:val="002D043A"/>
    <w:rsid w:val="0031713F"/>
    <w:rsid w:val="003222D1"/>
    <w:rsid w:val="003272F2"/>
    <w:rsid w:val="0032750F"/>
    <w:rsid w:val="003415D3"/>
    <w:rsid w:val="00342914"/>
    <w:rsid w:val="003442F6"/>
    <w:rsid w:val="00346335"/>
    <w:rsid w:val="00352B0F"/>
    <w:rsid w:val="003561B0"/>
    <w:rsid w:val="00397893"/>
    <w:rsid w:val="003A15AC"/>
    <w:rsid w:val="003B0627"/>
    <w:rsid w:val="003C5F2B"/>
    <w:rsid w:val="003C7D35"/>
    <w:rsid w:val="003D0BFE"/>
    <w:rsid w:val="003D5700"/>
    <w:rsid w:val="003E1BFE"/>
    <w:rsid w:val="003F6F52"/>
    <w:rsid w:val="004022CA"/>
    <w:rsid w:val="004116CD"/>
    <w:rsid w:val="00414ADE"/>
    <w:rsid w:val="00424CA9"/>
    <w:rsid w:val="004257BB"/>
    <w:rsid w:val="0044291A"/>
    <w:rsid w:val="004600B0"/>
    <w:rsid w:val="00460499"/>
    <w:rsid w:val="00460FBA"/>
    <w:rsid w:val="00466171"/>
    <w:rsid w:val="00474835"/>
    <w:rsid w:val="004819C7"/>
    <w:rsid w:val="0048364F"/>
    <w:rsid w:val="00484DFD"/>
    <w:rsid w:val="004877FC"/>
    <w:rsid w:val="00490F2E"/>
    <w:rsid w:val="00490FB4"/>
    <w:rsid w:val="00496F97"/>
    <w:rsid w:val="004A53EA"/>
    <w:rsid w:val="004B35E7"/>
    <w:rsid w:val="004E2A7D"/>
    <w:rsid w:val="004F1FAC"/>
    <w:rsid w:val="004F676E"/>
    <w:rsid w:val="004F71C0"/>
    <w:rsid w:val="00500761"/>
    <w:rsid w:val="00505548"/>
    <w:rsid w:val="00516B8D"/>
    <w:rsid w:val="0052756C"/>
    <w:rsid w:val="00530230"/>
    <w:rsid w:val="00530CC9"/>
    <w:rsid w:val="00531B46"/>
    <w:rsid w:val="00537FBC"/>
    <w:rsid w:val="00541D73"/>
    <w:rsid w:val="00543469"/>
    <w:rsid w:val="00546FA3"/>
    <w:rsid w:val="00557C7A"/>
    <w:rsid w:val="00562A58"/>
    <w:rsid w:val="0056541A"/>
    <w:rsid w:val="00581211"/>
    <w:rsid w:val="00584811"/>
    <w:rsid w:val="00591A4E"/>
    <w:rsid w:val="00593AA6"/>
    <w:rsid w:val="00594161"/>
    <w:rsid w:val="00594749"/>
    <w:rsid w:val="00594956"/>
    <w:rsid w:val="005B1555"/>
    <w:rsid w:val="005B4067"/>
    <w:rsid w:val="005C3F41"/>
    <w:rsid w:val="005C4EF0"/>
    <w:rsid w:val="005D5EA1"/>
    <w:rsid w:val="005E098C"/>
    <w:rsid w:val="005E1F8D"/>
    <w:rsid w:val="005E317F"/>
    <w:rsid w:val="005E61D3"/>
    <w:rsid w:val="00600219"/>
    <w:rsid w:val="006065DA"/>
    <w:rsid w:val="00606AA4"/>
    <w:rsid w:val="00640402"/>
    <w:rsid w:val="00640F78"/>
    <w:rsid w:val="00655D6A"/>
    <w:rsid w:val="00656DE9"/>
    <w:rsid w:val="00672876"/>
    <w:rsid w:val="00677CC2"/>
    <w:rsid w:val="00685F42"/>
    <w:rsid w:val="0069207B"/>
    <w:rsid w:val="006A304E"/>
    <w:rsid w:val="006B7006"/>
    <w:rsid w:val="006C02BF"/>
    <w:rsid w:val="006C7F8C"/>
    <w:rsid w:val="006D7AB9"/>
    <w:rsid w:val="00700B2C"/>
    <w:rsid w:val="00713084"/>
    <w:rsid w:val="00717463"/>
    <w:rsid w:val="00720FC2"/>
    <w:rsid w:val="00722E89"/>
    <w:rsid w:val="00731E00"/>
    <w:rsid w:val="007339C7"/>
    <w:rsid w:val="007440B7"/>
    <w:rsid w:val="00747993"/>
    <w:rsid w:val="007634AD"/>
    <w:rsid w:val="007715C9"/>
    <w:rsid w:val="00774EDD"/>
    <w:rsid w:val="007757EC"/>
    <w:rsid w:val="007A6863"/>
    <w:rsid w:val="007C78B4"/>
    <w:rsid w:val="007E32B6"/>
    <w:rsid w:val="007E486B"/>
    <w:rsid w:val="007E7D4A"/>
    <w:rsid w:val="007F48ED"/>
    <w:rsid w:val="007F5E3F"/>
    <w:rsid w:val="00812F45"/>
    <w:rsid w:val="00836FE9"/>
    <w:rsid w:val="00840367"/>
    <w:rsid w:val="0084172C"/>
    <w:rsid w:val="0085175E"/>
    <w:rsid w:val="00856A31"/>
    <w:rsid w:val="008754D0"/>
    <w:rsid w:val="00877C69"/>
    <w:rsid w:val="00877D48"/>
    <w:rsid w:val="00882174"/>
    <w:rsid w:val="0088345B"/>
    <w:rsid w:val="008A16A5"/>
    <w:rsid w:val="008A5C57"/>
    <w:rsid w:val="008C0629"/>
    <w:rsid w:val="008C754B"/>
    <w:rsid w:val="008D0EE0"/>
    <w:rsid w:val="008D7A27"/>
    <w:rsid w:val="008E4702"/>
    <w:rsid w:val="008E69AA"/>
    <w:rsid w:val="008F4F1C"/>
    <w:rsid w:val="009069AD"/>
    <w:rsid w:val="00910E64"/>
    <w:rsid w:val="00922764"/>
    <w:rsid w:val="009277A1"/>
    <w:rsid w:val="009278C1"/>
    <w:rsid w:val="00932377"/>
    <w:rsid w:val="009346E3"/>
    <w:rsid w:val="0094523D"/>
    <w:rsid w:val="00955BE8"/>
    <w:rsid w:val="00976A63"/>
    <w:rsid w:val="009B2490"/>
    <w:rsid w:val="009B50E5"/>
    <w:rsid w:val="009C3431"/>
    <w:rsid w:val="009C5989"/>
    <w:rsid w:val="009C6A32"/>
    <w:rsid w:val="009D08DA"/>
    <w:rsid w:val="00A06860"/>
    <w:rsid w:val="00A136F5"/>
    <w:rsid w:val="00A231E2"/>
    <w:rsid w:val="00A2550D"/>
    <w:rsid w:val="00A2643E"/>
    <w:rsid w:val="00A379BB"/>
    <w:rsid w:val="00A4169B"/>
    <w:rsid w:val="00A50D55"/>
    <w:rsid w:val="00A52FDA"/>
    <w:rsid w:val="00A64912"/>
    <w:rsid w:val="00A70A74"/>
    <w:rsid w:val="00A9231A"/>
    <w:rsid w:val="00A95BC7"/>
    <w:rsid w:val="00AA0343"/>
    <w:rsid w:val="00AA78CE"/>
    <w:rsid w:val="00AA7B26"/>
    <w:rsid w:val="00AC767C"/>
    <w:rsid w:val="00AD3467"/>
    <w:rsid w:val="00AD5641"/>
    <w:rsid w:val="00AE2EB3"/>
    <w:rsid w:val="00AF33DB"/>
    <w:rsid w:val="00B032D8"/>
    <w:rsid w:val="00B05D72"/>
    <w:rsid w:val="00B20990"/>
    <w:rsid w:val="00B23FAF"/>
    <w:rsid w:val="00B33B3C"/>
    <w:rsid w:val="00B40D74"/>
    <w:rsid w:val="00B42649"/>
    <w:rsid w:val="00B46467"/>
    <w:rsid w:val="00B52663"/>
    <w:rsid w:val="00B53205"/>
    <w:rsid w:val="00B56DCB"/>
    <w:rsid w:val="00B61728"/>
    <w:rsid w:val="00B770D2"/>
    <w:rsid w:val="00B93516"/>
    <w:rsid w:val="00B96776"/>
    <w:rsid w:val="00B973E5"/>
    <w:rsid w:val="00BA47A3"/>
    <w:rsid w:val="00BA5026"/>
    <w:rsid w:val="00BA70F3"/>
    <w:rsid w:val="00BA7B5B"/>
    <w:rsid w:val="00BB6E79"/>
    <w:rsid w:val="00BE42C5"/>
    <w:rsid w:val="00BE719A"/>
    <w:rsid w:val="00BE720A"/>
    <w:rsid w:val="00BF0723"/>
    <w:rsid w:val="00BF6650"/>
    <w:rsid w:val="00C067E5"/>
    <w:rsid w:val="00C164CA"/>
    <w:rsid w:val="00C26051"/>
    <w:rsid w:val="00C42BF8"/>
    <w:rsid w:val="00C460AE"/>
    <w:rsid w:val="00C50043"/>
    <w:rsid w:val="00C5015F"/>
    <w:rsid w:val="00C50A0F"/>
    <w:rsid w:val="00C50F4A"/>
    <w:rsid w:val="00C51B2F"/>
    <w:rsid w:val="00C72D10"/>
    <w:rsid w:val="00C7573B"/>
    <w:rsid w:val="00C76CF3"/>
    <w:rsid w:val="00C86AC9"/>
    <w:rsid w:val="00C93205"/>
    <w:rsid w:val="00C945DC"/>
    <w:rsid w:val="00CA7844"/>
    <w:rsid w:val="00CB58EF"/>
    <w:rsid w:val="00CE0A93"/>
    <w:rsid w:val="00CE477D"/>
    <w:rsid w:val="00CF0BB2"/>
    <w:rsid w:val="00CF2157"/>
    <w:rsid w:val="00CF6499"/>
    <w:rsid w:val="00D12B0D"/>
    <w:rsid w:val="00D1333D"/>
    <w:rsid w:val="00D13441"/>
    <w:rsid w:val="00D243A3"/>
    <w:rsid w:val="00D33440"/>
    <w:rsid w:val="00D52EFE"/>
    <w:rsid w:val="00D56A0D"/>
    <w:rsid w:val="00D63EF6"/>
    <w:rsid w:val="00D66518"/>
    <w:rsid w:val="00D70DFB"/>
    <w:rsid w:val="00D71EEA"/>
    <w:rsid w:val="00D735CD"/>
    <w:rsid w:val="00D73E13"/>
    <w:rsid w:val="00D766DF"/>
    <w:rsid w:val="00D90841"/>
    <w:rsid w:val="00DA2439"/>
    <w:rsid w:val="00DA6F05"/>
    <w:rsid w:val="00DB64FC"/>
    <w:rsid w:val="00DE149E"/>
    <w:rsid w:val="00E034DB"/>
    <w:rsid w:val="00E05704"/>
    <w:rsid w:val="00E12F1A"/>
    <w:rsid w:val="00E22935"/>
    <w:rsid w:val="00E25D1D"/>
    <w:rsid w:val="00E31819"/>
    <w:rsid w:val="00E54292"/>
    <w:rsid w:val="00E60191"/>
    <w:rsid w:val="00E61DF5"/>
    <w:rsid w:val="00E67092"/>
    <w:rsid w:val="00E74DC7"/>
    <w:rsid w:val="00E87699"/>
    <w:rsid w:val="00E92E27"/>
    <w:rsid w:val="00E9586B"/>
    <w:rsid w:val="00E97334"/>
    <w:rsid w:val="00EB3A99"/>
    <w:rsid w:val="00EB65F8"/>
    <w:rsid w:val="00ED4928"/>
    <w:rsid w:val="00EE3FFE"/>
    <w:rsid w:val="00EE57E8"/>
    <w:rsid w:val="00EE6190"/>
    <w:rsid w:val="00EF2E3A"/>
    <w:rsid w:val="00EF6402"/>
    <w:rsid w:val="00F03D99"/>
    <w:rsid w:val="00F047E2"/>
    <w:rsid w:val="00F04D57"/>
    <w:rsid w:val="00F078DC"/>
    <w:rsid w:val="00F13E86"/>
    <w:rsid w:val="00F17851"/>
    <w:rsid w:val="00F20B52"/>
    <w:rsid w:val="00F32FCB"/>
    <w:rsid w:val="00F33523"/>
    <w:rsid w:val="00F341F6"/>
    <w:rsid w:val="00F677A9"/>
    <w:rsid w:val="00F8121C"/>
    <w:rsid w:val="00F84CF5"/>
    <w:rsid w:val="00F8612E"/>
    <w:rsid w:val="00F94583"/>
    <w:rsid w:val="00FA420B"/>
    <w:rsid w:val="00FB6049"/>
    <w:rsid w:val="00FB6AEE"/>
    <w:rsid w:val="00FC3EAC"/>
    <w:rsid w:val="00FF39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399C68D"/>
  <w15:docId w15:val="{ABFEBC63-0E21-4BF9-970B-B8E344C64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AU"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74835"/>
    <w:pPr>
      <w:spacing w:line="260" w:lineRule="atLeast"/>
    </w:pPr>
    <w:rPr>
      <w:sz w:val="22"/>
    </w:rPr>
  </w:style>
  <w:style w:type="paragraph" w:styleId="Heading1">
    <w:name w:val="heading 1"/>
    <w:basedOn w:val="Normal"/>
    <w:next w:val="Normal"/>
    <w:link w:val="Heading1Char"/>
    <w:uiPriority w:val="9"/>
    <w:qFormat/>
    <w:rsid w:val="00DB64F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B64F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B64F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B64F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B64FC"/>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DB64FC"/>
    <w:pPr>
      <w:keepNext/>
      <w:keepLines/>
      <w:spacing w:line="240" w:lineRule="auto"/>
      <w:ind w:left="1134" w:hanging="1134"/>
      <w:outlineLvl w:val="5"/>
    </w:pPr>
    <w:rPr>
      <w:rFonts w:ascii="Arial" w:eastAsia="Times New Roman" w:hAnsi="Arial" w:cs="Times New Roman"/>
      <w:b/>
      <w:kern w:val="28"/>
      <w:sz w:val="32"/>
      <w:lang w:eastAsia="en-AU"/>
    </w:rPr>
  </w:style>
  <w:style w:type="paragraph" w:styleId="Heading7">
    <w:name w:val="heading 7"/>
    <w:basedOn w:val="Normal"/>
    <w:next w:val="Normal"/>
    <w:link w:val="Heading7Char"/>
    <w:uiPriority w:val="9"/>
    <w:semiHidden/>
    <w:unhideWhenUsed/>
    <w:qFormat/>
    <w:rsid w:val="00DB64F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B64FC"/>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DB64FC"/>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qFormat/>
    <w:rsid w:val="0024074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BoxStep"/>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uiPriority w:val="1"/>
    <w:qFormat/>
    <w:rsid w:val="00A231E2"/>
  </w:style>
  <w:style w:type="character" w:customStyle="1" w:styleId="CharChapText">
    <w:name w:val="CharChapText"/>
    <w:basedOn w:val="OPCCharBase"/>
    <w:uiPriority w:val="1"/>
    <w:qFormat/>
    <w:rsid w:val="00A231E2"/>
  </w:style>
  <w:style w:type="character" w:customStyle="1" w:styleId="CharDivNo">
    <w:name w:val="CharDivNo"/>
    <w:basedOn w:val="OPCCharBase"/>
    <w:uiPriority w:val="1"/>
    <w:qFormat/>
    <w:rsid w:val="00A231E2"/>
  </w:style>
  <w:style w:type="character" w:customStyle="1" w:styleId="CharDivText">
    <w:name w:val="CharDivText"/>
    <w:basedOn w:val="OPCCharBase"/>
    <w:uiPriority w:val="1"/>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uiPriority w:val="1"/>
    <w:qFormat/>
    <w:rsid w:val="00A231E2"/>
  </w:style>
  <w:style w:type="character" w:customStyle="1" w:styleId="CharPartText">
    <w:name w:val="CharPartText"/>
    <w:basedOn w:val="OPCCharBase"/>
    <w:uiPriority w:val="1"/>
    <w:qFormat/>
    <w:rsid w:val="00A231E2"/>
  </w:style>
  <w:style w:type="character" w:customStyle="1" w:styleId="CharSectno">
    <w:name w:val="CharSectno"/>
    <w:basedOn w:val="OPCCharBase"/>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3415D3"/>
    <w:pPr>
      <w:spacing w:before="60" w:line="240" w:lineRule="auto"/>
      <w:jc w:val="right"/>
    </w:pPr>
    <w:rPr>
      <w:sz w:val="20"/>
    </w:rPr>
  </w:style>
  <w:style w:type="paragraph" w:customStyle="1" w:styleId="subsection">
    <w:name w:val="subsection"/>
    <w:aliases w:val="ss,Subsection"/>
    <w:basedOn w:val="OPCParaBase"/>
    <w:link w:val="subsectionChar"/>
    <w:rsid w:val="00600219"/>
    <w:pPr>
      <w:tabs>
        <w:tab w:val="right" w:pos="1021"/>
      </w:tabs>
      <w:spacing w:before="180" w:line="240" w:lineRule="auto"/>
      <w:ind w:left="1134" w:hanging="1134"/>
    </w:pPr>
  </w:style>
  <w:style w:type="paragraph" w:customStyle="1" w:styleId="Definition">
    <w:name w:val="Definition"/>
    <w:aliases w:val="dd"/>
    <w:basedOn w:val="OPCParaBase"/>
    <w:rsid w:val="00600219"/>
    <w:pPr>
      <w:spacing w:before="180" w:line="240" w:lineRule="auto"/>
      <w:ind w:left="1134"/>
    </w:pPr>
  </w:style>
  <w:style w:type="paragraph" w:customStyle="1" w:styleId="ETAsubitem">
    <w:name w:val="ETA(subitem)"/>
    <w:basedOn w:val="OPCParaBase"/>
    <w:rsid w:val="007715C9"/>
    <w:pPr>
      <w:tabs>
        <w:tab w:val="right" w:pos="340"/>
      </w:tabs>
      <w:spacing w:before="60" w:line="240" w:lineRule="auto"/>
      <w:ind w:left="454" w:hanging="454"/>
    </w:pPr>
    <w:rPr>
      <w:sz w:val="20"/>
    </w:rPr>
  </w:style>
  <w:style w:type="paragraph" w:customStyle="1" w:styleId="ETApara">
    <w:name w:val="ETA(para)"/>
    <w:basedOn w:val="OPCParaBase"/>
    <w:rsid w:val="007715C9"/>
    <w:pPr>
      <w:tabs>
        <w:tab w:val="right" w:pos="754"/>
      </w:tabs>
      <w:spacing w:before="60" w:line="240" w:lineRule="auto"/>
      <w:ind w:left="828" w:hanging="828"/>
    </w:pPr>
    <w:rPr>
      <w:sz w:val="20"/>
    </w:rPr>
  </w:style>
  <w:style w:type="paragraph" w:customStyle="1" w:styleId="ETAsubpara">
    <w:name w:val="ETA(subpara)"/>
    <w:basedOn w:val="OPCParaBase"/>
    <w:rsid w:val="007715C9"/>
    <w:pPr>
      <w:tabs>
        <w:tab w:val="right" w:pos="1083"/>
      </w:tabs>
      <w:spacing w:before="60" w:line="240" w:lineRule="auto"/>
      <w:ind w:left="1191" w:hanging="1191"/>
    </w:pPr>
    <w:rPr>
      <w:sz w:val="20"/>
    </w:rPr>
  </w:style>
  <w:style w:type="paragraph" w:customStyle="1" w:styleId="ETAsub-subpara">
    <w:name w:val="ETA(sub-subpara)"/>
    <w:basedOn w:val="OPCParaBase"/>
    <w:rsid w:val="007715C9"/>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747993"/>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ToPara">
    <w:name w:val="noteToPara"/>
    <w:aliases w:val="ntp"/>
    <w:basedOn w:val="OPCParaBase"/>
    <w:rsid w:val="00594749"/>
    <w:pPr>
      <w:spacing w:before="122" w:line="198" w:lineRule="exact"/>
      <w:ind w:left="2353" w:hanging="70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notetext">
    <w:name w:val="note(text)"/>
    <w:aliases w:val="n"/>
    <w:basedOn w:val="OPCParaBase"/>
    <w:link w:val="notetextChar"/>
    <w:rsid w:val="00594749"/>
    <w:pPr>
      <w:spacing w:before="122" w:line="198" w:lineRule="exact"/>
      <w:ind w:left="1985" w:hanging="851"/>
    </w:pPr>
    <w:rPr>
      <w:sz w:val="18"/>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D52EFE"/>
    <w:pPr>
      <w:spacing w:line="240" w:lineRule="auto"/>
    </w:pPr>
    <w:rPr>
      <w:sz w:val="2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
    <w:basedOn w:val="OPCParaBase"/>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8D0EE0"/>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B40D74"/>
    <w:pPr>
      <w:keepNext/>
      <w:keepLines/>
      <w:tabs>
        <w:tab w:val="right" w:pos="8278"/>
      </w:tabs>
      <w:spacing w:before="120" w:line="240" w:lineRule="auto"/>
      <w:ind w:left="1474" w:right="567" w:hanging="1474"/>
    </w:pPr>
    <w:rPr>
      <w:b/>
      <w:kern w:val="28"/>
      <w:sz w:val="28"/>
    </w:rPr>
  </w:style>
  <w:style w:type="paragraph" w:styleId="TOC2">
    <w:name w:val="toc 2"/>
    <w:basedOn w:val="OPCParaBase"/>
    <w:next w:val="Normal"/>
    <w:uiPriority w:val="39"/>
    <w:unhideWhenUsed/>
    <w:rsid w:val="00B40D74"/>
    <w:pPr>
      <w:keepNext/>
      <w:keepLines/>
      <w:tabs>
        <w:tab w:val="right" w:pos="8278"/>
      </w:tabs>
      <w:spacing w:before="120" w:line="240" w:lineRule="auto"/>
      <w:ind w:left="879" w:right="567" w:hanging="879"/>
    </w:pPr>
    <w:rPr>
      <w:b/>
      <w:kern w:val="28"/>
      <w:sz w:val="24"/>
    </w:rPr>
  </w:style>
  <w:style w:type="paragraph" w:styleId="TOC3">
    <w:name w:val="toc 3"/>
    <w:basedOn w:val="OPCParaBase"/>
    <w:next w:val="Normal"/>
    <w:uiPriority w:val="39"/>
    <w:unhideWhenUsed/>
    <w:rsid w:val="00B40D74"/>
    <w:pPr>
      <w:keepNext/>
      <w:keepLines/>
      <w:tabs>
        <w:tab w:val="right" w:pos="8278"/>
      </w:tabs>
      <w:spacing w:before="80" w:line="240" w:lineRule="auto"/>
      <w:ind w:left="1604" w:right="567" w:hanging="1179"/>
    </w:pPr>
    <w:rPr>
      <w:b/>
      <w:kern w:val="28"/>
    </w:rPr>
  </w:style>
  <w:style w:type="paragraph" w:styleId="TOC4">
    <w:name w:val="toc 4"/>
    <w:basedOn w:val="OPCParaBase"/>
    <w:next w:val="Normal"/>
    <w:uiPriority w:val="39"/>
    <w:semiHidden/>
    <w:unhideWhenUsed/>
    <w:rsid w:val="00B40D74"/>
    <w:pPr>
      <w:keepLines/>
      <w:tabs>
        <w:tab w:val="right" w:pos="8278"/>
      </w:tabs>
      <w:spacing w:before="80" w:line="240" w:lineRule="auto"/>
      <w:ind w:left="2183" w:right="567" w:hanging="1332"/>
    </w:pPr>
    <w:rPr>
      <w:b/>
      <w:kern w:val="28"/>
      <w:sz w:val="20"/>
    </w:rPr>
  </w:style>
  <w:style w:type="paragraph" w:styleId="TOC5">
    <w:name w:val="toc 5"/>
    <w:basedOn w:val="OPCParaBase"/>
    <w:next w:val="Normal"/>
    <w:uiPriority w:val="39"/>
    <w:unhideWhenUsed/>
    <w:rsid w:val="00B20990"/>
    <w:pPr>
      <w:keepLines/>
      <w:tabs>
        <w:tab w:val="right" w:leader="dot" w:pos="8278"/>
      </w:tabs>
      <w:spacing w:before="40" w:line="240" w:lineRule="auto"/>
      <w:ind w:left="1985" w:right="567" w:hanging="567"/>
    </w:pPr>
    <w:rPr>
      <w:kern w:val="28"/>
      <w:sz w:val="18"/>
    </w:rPr>
  </w:style>
  <w:style w:type="paragraph" w:styleId="TOC6">
    <w:name w:val="toc 6"/>
    <w:basedOn w:val="OPCParaBase"/>
    <w:next w:val="Normal"/>
    <w:uiPriority w:val="39"/>
    <w:unhideWhenUsed/>
    <w:rsid w:val="00B40D74"/>
    <w:pPr>
      <w:keepLines/>
      <w:tabs>
        <w:tab w:val="right" w:pos="8278"/>
      </w:tabs>
      <w:spacing w:before="120" w:line="240" w:lineRule="auto"/>
      <w:ind w:left="1344" w:right="567" w:hanging="1344"/>
    </w:pPr>
    <w:rPr>
      <w:b/>
      <w:kern w:val="28"/>
      <w:sz w:val="24"/>
    </w:rPr>
  </w:style>
  <w:style w:type="paragraph" w:styleId="TOC7">
    <w:name w:val="toc 7"/>
    <w:basedOn w:val="OPCParaBase"/>
    <w:next w:val="Normal"/>
    <w:uiPriority w:val="39"/>
    <w:semiHidden/>
    <w:unhideWhenUsed/>
    <w:rsid w:val="00B40D74"/>
    <w:pPr>
      <w:keepLines/>
      <w:tabs>
        <w:tab w:val="right" w:pos="8278"/>
      </w:tabs>
      <w:spacing w:before="120" w:line="240" w:lineRule="auto"/>
      <w:ind w:left="1253" w:right="567" w:hanging="828"/>
    </w:pPr>
    <w:rPr>
      <w:kern w:val="28"/>
      <w:sz w:val="24"/>
    </w:rPr>
  </w:style>
  <w:style w:type="paragraph" w:styleId="TOC8">
    <w:name w:val="toc 8"/>
    <w:basedOn w:val="OPCParaBase"/>
    <w:next w:val="Normal"/>
    <w:uiPriority w:val="39"/>
    <w:semiHidden/>
    <w:unhideWhenUsed/>
    <w:rsid w:val="00B40D74"/>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39"/>
    <w:unhideWhenUsed/>
    <w:rsid w:val="00B40D74"/>
    <w:pPr>
      <w:keepLines/>
      <w:tabs>
        <w:tab w:val="right" w:pos="827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notepara">
    <w:name w:val="note(para)"/>
    <w:aliases w:val="na"/>
    <w:basedOn w:val="OPCParaBase"/>
    <w:rsid w:val="005C3F41"/>
    <w:pPr>
      <w:spacing w:before="40" w:line="198" w:lineRule="exact"/>
      <w:ind w:left="2354" w:hanging="369"/>
    </w:pPr>
    <w:rPr>
      <w:sz w:val="18"/>
    </w:rPr>
  </w:style>
  <w:style w:type="paragraph" w:styleId="Footer">
    <w:name w:val="footer"/>
    <w:link w:val="FooterChar"/>
    <w:rsid w:val="0048364F"/>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48364F"/>
    <w:rPr>
      <w:rFonts w:eastAsia="Times New Roman" w:cs="Times New Roman"/>
      <w:sz w:val="22"/>
      <w:szCs w:val="24"/>
      <w:lang w:eastAsia="en-AU"/>
    </w:rPr>
  </w:style>
  <w:style w:type="character" w:styleId="LineNumber">
    <w:name w:val="line number"/>
    <w:basedOn w:val="OPCCharBase"/>
    <w:uiPriority w:val="99"/>
    <w:semiHidden/>
    <w:unhideWhenUsed/>
    <w:rsid w:val="00FA420B"/>
    <w:rPr>
      <w:sz w:val="16"/>
    </w:rPr>
  </w:style>
  <w:style w:type="table" w:customStyle="1" w:styleId="CFlag">
    <w:name w:val="CFlag"/>
    <w:basedOn w:val="TableNormal"/>
    <w:uiPriority w:val="99"/>
    <w:rsid w:val="003C5F2B"/>
    <w:rPr>
      <w:rFonts w:eastAsia="Times New Roman" w:cs="Times New Roman"/>
      <w:lang w:eastAsia="en-AU"/>
    </w:rPr>
    <w:tblPr/>
  </w:style>
  <w:style w:type="paragraph" w:styleId="BalloonText">
    <w:name w:val="Balloon Text"/>
    <w:basedOn w:val="Normal"/>
    <w:link w:val="BalloonTextChar"/>
    <w:uiPriority w:val="99"/>
    <w:semiHidden/>
    <w:unhideWhenUsed/>
    <w:rsid w:val="0019346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461"/>
    <w:rPr>
      <w:rFonts w:ascii="Tahoma" w:hAnsi="Tahoma" w:cs="Tahoma"/>
      <w:sz w:val="16"/>
      <w:szCs w:val="16"/>
    </w:rPr>
  </w:style>
  <w:style w:type="table" w:styleId="TableGrid">
    <w:name w:val="Table Grid"/>
    <w:basedOn w:val="TableNormal"/>
    <w:uiPriority w:val="59"/>
    <w:rsid w:val="00A13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3A15AC"/>
    <w:rPr>
      <w:b/>
      <w:sz w:val="28"/>
      <w:szCs w:val="32"/>
    </w:rPr>
  </w:style>
  <w:style w:type="paragraph" w:customStyle="1" w:styleId="LegislationMadeUnder">
    <w:name w:val="LegislationMadeUnder"/>
    <w:basedOn w:val="OPCParaBase"/>
    <w:next w:val="Normal"/>
    <w:rsid w:val="00E60191"/>
    <w:rPr>
      <w:i/>
      <w:sz w:val="32"/>
      <w:szCs w:val="32"/>
    </w:rPr>
  </w:style>
  <w:style w:type="paragraph" w:customStyle="1" w:styleId="SignCoverPageEnd">
    <w:name w:val="SignCoverPageEnd"/>
    <w:basedOn w:val="OPCParaBase"/>
    <w:next w:val="Normal"/>
    <w:rsid w:val="008E69AA"/>
    <w:pPr>
      <w:keepNext/>
      <w:pBdr>
        <w:bottom w:val="single" w:sz="4" w:space="12" w:color="auto"/>
      </w:pBdr>
      <w:tabs>
        <w:tab w:val="left" w:pos="3402"/>
      </w:tabs>
      <w:spacing w:line="300" w:lineRule="atLeast"/>
      <w:ind w:right="397"/>
    </w:pPr>
    <w:rPr>
      <w:sz w:val="24"/>
    </w:rPr>
  </w:style>
  <w:style w:type="paragraph" w:customStyle="1" w:styleId="SignCoverPageStart">
    <w:name w:val="SignCoverPageStart"/>
    <w:basedOn w:val="OPCParaBase"/>
    <w:next w:val="Normal"/>
    <w:rsid w:val="00054577"/>
    <w:pPr>
      <w:pBdr>
        <w:top w:val="single" w:sz="4" w:space="1" w:color="auto"/>
      </w:pBdr>
      <w:spacing w:before="360"/>
      <w:ind w:right="397"/>
      <w:jc w:val="both"/>
    </w:pPr>
  </w:style>
  <w:style w:type="paragraph" w:customStyle="1" w:styleId="NotesHeading1">
    <w:name w:val="NotesHeading 1"/>
    <w:basedOn w:val="OPCParaBase"/>
    <w:next w:val="Normal"/>
    <w:rsid w:val="00054577"/>
    <w:rPr>
      <w:b/>
      <w:sz w:val="28"/>
      <w:szCs w:val="28"/>
    </w:rPr>
  </w:style>
  <w:style w:type="paragraph" w:customStyle="1" w:styleId="NotesHeading2">
    <w:name w:val="NotesHeading 2"/>
    <w:basedOn w:val="OPCParaBase"/>
    <w:next w:val="Normal"/>
    <w:rsid w:val="00054577"/>
    <w:rPr>
      <w:b/>
      <w:sz w:val="28"/>
      <w:szCs w:val="28"/>
    </w:rPr>
  </w:style>
  <w:style w:type="paragraph" w:customStyle="1" w:styleId="ENotesText">
    <w:name w:val="ENotesText"/>
    <w:aliases w:val="Ent"/>
    <w:basedOn w:val="OPCParaBase"/>
    <w:next w:val="Normal"/>
    <w:rsid w:val="006B7006"/>
    <w:pPr>
      <w:spacing w:before="120"/>
    </w:pPr>
  </w:style>
  <w:style w:type="paragraph" w:customStyle="1" w:styleId="CompiledActNo">
    <w:name w:val="CompiledActNo"/>
    <w:basedOn w:val="OPCParaBase"/>
    <w:next w:val="Normal"/>
    <w:rsid w:val="00AD3467"/>
    <w:rPr>
      <w:b/>
      <w:sz w:val="24"/>
      <w:szCs w:val="24"/>
    </w:rPr>
  </w:style>
  <w:style w:type="paragraph" w:customStyle="1" w:styleId="CompiledMadeUnder">
    <w:name w:val="CompiledMadeUnder"/>
    <w:basedOn w:val="OPCParaBase"/>
    <w:next w:val="Normal"/>
    <w:rsid w:val="00AD3467"/>
    <w:rPr>
      <w:i/>
      <w:sz w:val="24"/>
      <w:szCs w:val="24"/>
    </w:rPr>
  </w:style>
  <w:style w:type="paragraph" w:customStyle="1" w:styleId="Paragraphsub-sub-sub">
    <w:name w:val="Paragraph(sub-sub-sub)"/>
    <w:aliases w:val="aaaa"/>
    <w:basedOn w:val="OPCParaBase"/>
    <w:rsid w:val="00A06860"/>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541D73"/>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541D73"/>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541D73"/>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541D73"/>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6B7006"/>
    <w:pPr>
      <w:spacing w:before="60" w:line="240" w:lineRule="auto"/>
    </w:pPr>
    <w:rPr>
      <w:rFonts w:cs="Arial"/>
      <w:sz w:val="20"/>
      <w:szCs w:val="22"/>
    </w:rPr>
  </w:style>
  <w:style w:type="paragraph" w:customStyle="1" w:styleId="NoteToSubpara">
    <w:name w:val="NoteToSubpara"/>
    <w:aliases w:val="nts"/>
    <w:basedOn w:val="OPCParaBase"/>
    <w:rsid w:val="00922764"/>
    <w:pPr>
      <w:spacing w:before="40" w:line="198" w:lineRule="exact"/>
      <w:ind w:left="2835" w:hanging="709"/>
    </w:pPr>
    <w:rPr>
      <w:sz w:val="18"/>
    </w:rPr>
  </w:style>
  <w:style w:type="paragraph" w:customStyle="1" w:styleId="ENoteTableHeading">
    <w:name w:val="ENoteTableHeading"/>
    <w:aliases w:val="enth"/>
    <w:basedOn w:val="OPCParaBase"/>
    <w:rsid w:val="001E0A8D"/>
    <w:pPr>
      <w:keepNext/>
      <w:spacing w:before="60" w:line="240" w:lineRule="atLeast"/>
    </w:pPr>
    <w:rPr>
      <w:rFonts w:ascii="Arial" w:hAnsi="Arial"/>
      <w:b/>
      <w:sz w:val="16"/>
    </w:rPr>
  </w:style>
  <w:style w:type="paragraph" w:customStyle="1" w:styleId="ENoteTTi">
    <w:name w:val="ENoteTTi"/>
    <w:aliases w:val="entti"/>
    <w:basedOn w:val="OPCParaBase"/>
    <w:rsid w:val="00640402"/>
    <w:pPr>
      <w:keepNext/>
      <w:spacing w:before="60" w:line="240" w:lineRule="atLeast"/>
      <w:ind w:left="170"/>
    </w:pPr>
    <w:rPr>
      <w:sz w:val="16"/>
    </w:rPr>
  </w:style>
  <w:style w:type="paragraph" w:customStyle="1" w:styleId="ENotesHeading1">
    <w:name w:val="ENotesHeading 1"/>
    <w:aliases w:val="Enh1"/>
    <w:basedOn w:val="OPCParaBase"/>
    <w:next w:val="Normal"/>
    <w:rsid w:val="00000263"/>
    <w:pPr>
      <w:spacing w:before="120"/>
      <w:outlineLvl w:val="1"/>
    </w:pPr>
    <w:rPr>
      <w:b/>
      <w:sz w:val="28"/>
      <w:szCs w:val="28"/>
    </w:rPr>
  </w:style>
  <w:style w:type="paragraph" w:customStyle="1" w:styleId="ENotesHeading2">
    <w:name w:val="ENotesHeading 2"/>
    <w:aliases w:val="Enh2"/>
    <w:basedOn w:val="OPCParaBase"/>
    <w:next w:val="Normal"/>
    <w:rsid w:val="00976A63"/>
    <w:pPr>
      <w:spacing w:before="120" w:after="120"/>
      <w:outlineLvl w:val="2"/>
    </w:pPr>
    <w:rPr>
      <w:b/>
      <w:sz w:val="24"/>
      <w:szCs w:val="28"/>
    </w:rPr>
  </w:style>
  <w:style w:type="paragraph" w:customStyle="1" w:styleId="ENoteTTIndentHeading">
    <w:name w:val="ENoteTTIndentHeading"/>
    <w:aliases w:val="enTTHi"/>
    <w:basedOn w:val="OPCParaBase"/>
    <w:rsid w:val="008A16A5"/>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BA47A3"/>
    <w:pPr>
      <w:spacing w:before="60" w:line="240" w:lineRule="atLeast"/>
    </w:pPr>
    <w:rPr>
      <w:sz w:val="16"/>
    </w:rPr>
  </w:style>
  <w:style w:type="paragraph" w:customStyle="1" w:styleId="MadeunderText">
    <w:name w:val="MadeunderText"/>
    <w:basedOn w:val="OPCParaBase"/>
    <w:next w:val="CompiledMadeUnder"/>
    <w:rsid w:val="00F8612E"/>
    <w:pPr>
      <w:spacing w:before="240"/>
    </w:pPr>
    <w:rPr>
      <w:sz w:val="24"/>
      <w:szCs w:val="24"/>
    </w:rPr>
  </w:style>
  <w:style w:type="paragraph" w:customStyle="1" w:styleId="ENotesHeading3">
    <w:name w:val="ENotesHeading 3"/>
    <w:aliases w:val="Enh3"/>
    <w:basedOn w:val="OPCParaBase"/>
    <w:next w:val="Normal"/>
    <w:rsid w:val="004819C7"/>
    <w:pPr>
      <w:keepNext/>
      <w:spacing w:before="120" w:line="240" w:lineRule="auto"/>
      <w:outlineLvl w:val="4"/>
    </w:pPr>
    <w:rPr>
      <w:b/>
      <w:szCs w:val="24"/>
    </w:rPr>
  </w:style>
  <w:style w:type="paragraph" w:customStyle="1" w:styleId="SubPartCASA">
    <w:name w:val="SubPart(CASA)"/>
    <w:aliases w:val="csp"/>
    <w:basedOn w:val="OPCParaBase"/>
    <w:next w:val="ActHead3"/>
    <w:rsid w:val="00530CC9"/>
    <w:pPr>
      <w:keepNext/>
      <w:keepLines/>
      <w:spacing w:before="280"/>
      <w:outlineLvl w:val="1"/>
    </w:pPr>
    <w:rPr>
      <w:b/>
      <w:kern w:val="28"/>
      <w:sz w:val="32"/>
    </w:rPr>
  </w:style>
  <w:style w:type="character" w:customStyle="1" w:styleId="CharSubPartTextCASA">
    <w:name w:val="CharSubPartText(CASA)"/>
    <w:basedOn w:val="OPCCharBase"/>
    <w:uiPriority w:val="1"/>
    <w:rsid w:val="000D5485"/>
  </w:style>
  <w:style w:type="character" w:customStyle="1" w:styleId="CharSubPartNoCASA">
    <w:name w:val="CharSubPartNo(CASA)"/>
    <w:basedOn w:val="OPCCharBase"/>
    <w:uiPriority w:val="1"/>
    <w:rsid w:val="0007169C"/>
  </w:style>
  <w:style w:type="paragraph" w:customStyle="1" w:styleId="ENoteTTIndentHeadingSub">
    <w:name w:val="ENoteTTIndentHeadingSub"/>
    <w:aliases w:val="enTTHis"/>
    <w:basedOn w:val="OPCParaBase"/>
    <w:rsid w:val="00A50D55"/>
    <w:pPr>
      <w:keepNext/>
      <w:spacing w:before="60" w:line="240" w:lineRule="atLeast"/>
      <w:ind w:left="340"/>
    </w:pPr>
    <w:rPr>
      <w:b/>
      <w:sz w:val="16"/>
    </w:rPr>
  </w:style>
  <w:style w:type="paragraph" w:customStyle="1" w:styleId="ENoteTTiSub">
    <w:name w:val="ENoteTTiSub"/>
    <w:aliases w:val="enttis"/>
    <w:basedOn w:val="OPCParaBase"/>
    <w:rsid w:val="00CA7844"/>
    <w:pPr>
      <w:keepNext/>
      <w:spacing w:before="60" w:line="240" w:lineRule="atLeast"/>
      <w:ind w:left="340"/>
    </w:pPr>
    <w:rPr>
      <w:sz w:val="16"/>
    </w:rPr>
  </w:style>
  <w:style w:type="paragraph" w:customStyle="1" w:styleId="SubDivisionMigration">
    <w:name w:val="SubDivisionMigration"/>
    <w:aliases w:val="sdm"/>
    <w:basedOn w:val="OPCParaBase"/>
    <w:rsid w:val="004022CA"/>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05120E"/>
    <w:pPr>
      <w:keepNext/>
      <w:keepLines/>
      <w:spacing w:before="240" w:line="240" w:lineRule="auto"/>
      <w:ind w:left="1134" w:hanging="1134"/>
    </w:pPr>
    <w:rPr>
      <w:b/>
      <w:sz w:val="28"/>
    </w:rPr>
  </w:style>
  <w:style w:type="paragraph" w:customStyle="1" w:styleId="FreeForm">
    <w:name w:val="FreeForm"/>
    <w:rsid w:val="00FC3EAC"/>
    <w:rPr>
      <w:rFonts w:ascii="Arial" w:hAnsi="Arial"/>
      <w:sz w:val="22"/>
    </w:rPr>
  </w:style>
  <w:style w:type="paragraph" w:customStyle="1" w:styleId="SOText">
    <w:name w:val="SO Text"/>
    <w:aliases w:val="sot"/>
    <w:link w:val="SOTextChar"/>
    <w:rsid w:val="00DA6F05"/>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DA6F05"/>
    <w:rPr>
      <w:sz w:val="22"/>
    </w:rPr>
  </w:style>
  <w:style w:type="paragraph" w:customStyle="1" w:styleId="SOTextNote">
    <w:name w:val="SO TextNote"/>
    <w:aliases w:val="sont"/>
    <w:basedOn w:val="SOText"/>
    <w:qFormat/>
    <w:rsid w:val="00B23FAF"/>
    <w:pPr>
      <w:spacing w:before="122" w:line="198" w:lineRule="exact"/>
      <w:ind w:left="1843" w:hanging="709"/>
    </w:pPr>
    <w:rPr>
      <w:sz w:val="18"/>
    </w:rPr>
  </w:style>
  <w:style w:type="paragraph" w:customStyle="1" w:styleId="SOPara">
    <w:name w:val="SO Para"/>
    <w:aliases w:val="soa"/>
    <w:basedOn w:val="SOText"/>
    <w:link w:val="SOParaChar"/>
    <w:qFormat/>
    <w:rsid w:val="00460FBA"/>
    <w:pPr>
      <w:tabs>
        <w:tab w:val="right" w:pos="1786"/>
      </w:tabs>
      <w:spacing w:before="40"/>
      <w:ind w:left="2070" w:hanging="936"/>
    </w:pPr>
  </w:style>
  <w:style w:type="character" w:customStyle="1" w:styleId="SOParaChar">
    <w:name w:val="SO Para Char"/>
    <w:aliases w:val="soa Char"/>
    <w:basedOn w:val="DefaultParagraphFont"/>
    <w:link w:val="SOPara"/>
    <w:rsid w:val="00460FBA"/>
    <w:rPr>
      <w:sz w:val="22"/>
    </w:rPr>
  </w:style>
  <w:style w:type="paragraph" w:customStyle="1" w:styleId="FileName">
    <w:name w:val="FileName"/>
    <w:basedOn w:val="Normal"/>
    <w:rsid w:val="00A379BB"/>
  </w:style>
  <w:style w:type="paragraph" w:customStyle="1" w:styleId="TableHeading">
    <w:name w:val="TableHeading"/>
    <w:aliases w:val="th"/>
    <w:basedOn w:val="OPCParaBase"/>
    <w:next w:val="Tabletext"/>
    <w:rsid w:val="00594956"/>
    <w:pPr>
      <w:keepNext/>
      <w:spacing w:before="60" w:line="240" w:lineRule="atLeast"/>
    </w:pPr>
    <w:rPr>
      <w:b/>
      <w:sz w:val="20"/>
    </w:rPr>
  </w:style>
  <w:style w:type="paragraph" w:customStyle="1" w:styleId="SOHeadBold">
    <w:name w:val="SO HeadBold"/>
    <w:aliases w:val="sohb"/>
    <w:basedOn w:val="SOText"/>
    <w:next w:val="SOText"/>
    <w:link w:val="SOHeadBoldChar"/>
    <w:qFormat/>
    <w:rsid w:val="004600B0"/>
    <w:rPr>
      <w:b/>
    </w:rPr>
  </w:style>
  <w:style w:type="character" w:customStyle="1" w:styleId="SOHeadBoldChar">
    <w:name w:val="SO HeadBold Char"/>
    <w:aliases w:val="sohb Char"/>
    <w:basedOn w:val="DefaultParagraphFont"/>
    <w:link w:val="SOHeadBold"/>
    <w:rsid w:val="004600B0"/>
    <w:rPr>
      <w:b/>
      <w:sz w:val="22"/>
    </w:rPr>
  </w:style>
  <w:style w:type="paragraph" w:customStyle="1" w:styleId="SOHeadItalic">
    <w:name w:val="SO HeadItalic"/>
    <w:aliases w:val="sohi"/>
    <w:basedOn w:val="SOText"/>
    <w:next w:val="SOText"/>
    <w:link w:val="SOHeadItalicChar"/>
    <w:qFormat/>
    <w:rsid w:val="00BA7B5B"/>
    <w:rPr>
      <w:i/>
    </w:rPr>
  </w:style>
  <w:style w:type="character" w:customStyle="1" w:styleId="SOHeadItalicChar">
    <w:name w:val="SO HeadItalic Char"/>
    <w:aliases w:val="sohi Char"/>
    <w:basedOn w:val="DefaultParagraphFont"/>
    <w:link w:val="SOHeadItalic"/>
    <w:rsid w:val="00BA7B5B"/>
    <w:rPr>
      <w:i/>
      <w:sz w:val="22"/>
    </w:rPr>
  </w:style>
  <w:style w:type="paragraph" w:customStyle="1" w:styleId="SOBullet">
    <w:name w:val="SO Bullet"/>
    <w:aliases w:val="sotb"/>
    <w:basedOn w:val="SOText"/>
    <w:link w:val="SOBulletChar"/>
    <w:qFormat/>
    <w:rsid w:val="003222D1"/>
    <w:pPr>
      <w:ind w:left="1559" w:hanging="425"/>
    </w:pPr>
  </w:style>
  <w:style w:type="character" w:customStyle="1" w:styleId="SOBulletChar">
    <w:name w:val="SO Bullet Char"/>
    <w:aliases w:val="sotb Char"/>
    <w:basedOn w:val="DefaultParagraphFont"/>
    <w:link w:val="SOBullet"/>
    <w:rsid w:val="003222D1"/>
    <w:rPr>
      <w:sz w:val="22"/>
    </w:rPr>
  </w:style>
  <w:style w:type="paragraph" w:customStyle="1" w:styleId="SOBulletNote">
    <w:name w:val="SO BulletNote"/>
    <w:aliases w:val="sonb"/>
    <w:basedOn w:val="SOTextNote"/>
    <w:link w:val="SOBulletNoteChar"/>
    <w:qFormat/>
    <w:rsid w:val="00C50F4A"/>
    <w:pPr>
      <w:tabs>
        <w:tab w:val="left" w:pos="1560"/>
      </w:tabs>
      <w:ind w:left="2268" w:hanging="1134"/>
    </w:pPr>
  </w:style>
  <w:style w:type="character" w:customStyle="1" w:styleId="SOBulletNoteChar">
    <w:name w:val="SO BulletNote Char"/>
    <w:aliases w:val="sonb Char"/>
    <w:basedOn w:val="DefaultParagraphFont"/>
    <w:link w:val="SOBulletNote"/>
    <w:rsid w:val="00C50F4A"/>
    <w:rPr>
      <w:sz w:val="18"/>
    </w:rPr>
  </w:style>
  <w:style w:type="character" w:customStyle="1" w:styleId="subsectionChar">
    <w:name w:val="subsection Char"/>
    <w:aliases w:val="ss Char"/>
    <w:basedOn w:val="DefaultParagraphFont"/>
    <w:link w:val="subsection"/>
    <w:locked/>
    <w:rsid w:val="006065DA"/>
    <w:rPr>
      <w:rFonts w:eastAsia="Times New Roman" w:cs="Times New Roman"/>
      <w:sz w:val="22"/>
      <w:lang w:eastAsia="en-AU"/>
    </w:rPr>
  </w:style>
  <w:style w:type="paragraph" w:customStyle="1" w:styleId="BodyNum">
    <w:name w:val="BodyNum"/>
    <w:aliases w:val="b1"/>
    <w:basedOn w:val="OPCParaBase"/>
    <w:rsid w:val="006065DA"/>
    <w:pPr>
      <w:numPr>
        <w:numId w:val="13"/>
      </w:numPr>
      <w:spacing w:before="240" w:line="240" w:lineRule="auto"/>
    </w:pPr>
    <w:rPr>
      <w:sz w:val="24"/>
    </w:rPr>
  </w:style>
  <w:style w:type="paragraph" w:customStyle="1" w:styleId="BodyPara">
    <w:name w:val="BodyPara"/>
    <w:aliases w:val="ba"/>
    <w:basedOn w:val="OPCParaBase"/>
    <w:rsid w:val="006065DA"/>
    <w:pPr>
      <w:numPr>
        <w:ilvl w:val="1"/>
        <w:numId w:val="13"/>
      </w:numPr>
      <w:spacing w:before="240" w:line="240" w:lineRule="auto"/>
    </w:pPr>
    <w:rPr>
      <w:sz w:val="24"/>
    </w:rPr>
  </w:style>
  <w:style w:type="numbering" w:customStyle="1" w:styleId="OPCBodyList">
    <w:name w:val="OPCBodyList"/>
    <w:uiPriority w:val="99"/>
    <w:rsid w:val="006065DA"/>
    <w:pPr>
      <w:numPr>
        <w:numId w:val="13"/>
      </w:numPr>
    </w:pPr>
  </w:style>
  <w:style w:type="paragraph" w:customStyle="1" w:styleId="Head1">
    <w:name w:val="Head 1"/>
    <w:aliases w:val="1"/>
    <w:basedOn w:val="OPCParaBase"/>
    <w:next w:val="BodyNum"/>
    <w:rsid w:val="006065DA"/>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6065DA"/>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6065DA"/>
    <w:pPr>
      <w:keepNext/>
      <w:spacing w:before="240" w:after="60" w:line="240" w:lineRule="auto"/>
      <w:outlineLvl w:val="2"/>
    </w:pPr>
    <w:rPr>
      <w:rFonts w:ascii="Arial" w:hAnsi="Arial"/>
      <w:b/>
      <w:i/>
      <w:kern w:val="28"/>
      <w:sz w:val="26"/>
    </w:rPr>
  </w:style>
  <w:style w:type="character" w:customStyle="1" w:styleId="Heading6Char">
    <w:name w:val="Heading 6 Char"/>
    <w:basedOn w:val="DefaultParagraphFont"/>
    <w:link w:val="Heading6"/>
    <w:rsid w:val="00DB64FC"/>
    <w:rPr>
      <w:rFonts w:ascii="Arial" w:eastAsia="Times New Roman" w:hAnsi="Arial" w:cs="Times New Roman"/>
      <w:b/>
      <w:kern w:val="28"/>
      <w:sz w:val="32"/>
      <w:lang w:eastAsia="en-AU"/>
    </w:rPr>
  </w:style>
  <w:style w:type="character" w:customStyle="1" w:styleId="Heading1Char">
    <w:name w:val="Heading 1 Char"/>
    <w:basedOn w:val="DefaultParagraphFont"/>
    <w:link w:val="Heading1"/>
    <w:uiPriority w:val="9"/>
    <w:rsid w:val="00DB64F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B64F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B64FC"/>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semiHidden/>
    <w:rsid w:val="00DB64FC"/>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semiHidden/>
    <w:rsid w:val="00DB64FC"/>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uiPriority w:val="9"/>
    <w:semiHidden/>
    <w:rsid w:val="00DB64FC"/>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DB64F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DB64FC"/>
    <w:rPr>
      <w:rFonts w:asciiTheme="majorHAnsi" w:eastAsiaTheme="majorEastAsia" w:hAnsiTheme="majorHAnsi" w:cstheme="majorBidi"/>
      <w:i/>
      <w:iCs/>
      <w:color w:val="404040" w:themeColor="text1" w:themeTint="BF"/>
    </w:rPr>
  </w:style>
  <w:style w:type="character" w:customStyle="1" w:styleId="notetextChar">
    <w:name w:val="note(text) Char"/>
    <w:aliases w:val="n Char"/>
    <w:basedOn w:val="DefaultParagraphFont"/>
    <w:link w:val="notetext"/>
    <w:rsid w:val="00002BCC"/>
    <w:rPr>
      <w:rFonts w:eastAsia="Times New Roman" w:cs="Times New Roman"/>
      <w:sz w:val="18"/>
      <w:lang w:eastAsia="en-AU"/>
    </w:rPr>
  </w:style>
  <w:style w:type="paragraph" w:styleId="ListParagraph">
    <w:name w:val="List Paragraph"/>
    <w:aliases w:val="Heading 2.,List Paragraph1,Recommendation,List Paragraph11,List Paragraph111,L,F5 List Paragraph,Dot pt,CV text,Table text,Medium Grid 1 - Accent 21,Numbered Paragraph,List Paragraph2,NFP GP Bulleted List,FooterText,numbered,列出段,?,lp1"/>
    <w:basedOn w:val="Normal"/>
    <w:link w:val="ListParagraphChar"/>
    <w:uiPriority w:val="34"/>
    <w:qFormat/>
    <w:rsid w:val="006C02BF"/>
    <w:pPr>
      <w:spacing w:after="200" w:line="276" w:lineRule="auto"/>
      <w:ind w:left="720"/>
      <w:contextualSpacing/>
    </w:pPr>
    <w:rPr>
      <w:rFonts w:asciiTheme="minorHAnsi" w:hAnsiTheme="minorHAnsi"/>
      <w:szCs w:val="22"/>
    </w:rPr>
  </w:style>
  <w:style w:type="character" w:customStyle="1" w:styleId="ListParagraphChar">
    <w:name w:val="List Paragraph Char"/>
    <w:aliases w:val="Heading 2. Char,List Paragraph1 Char,Recommendation Char,List Paragraph11 Char,List Paragraph111 Char,L Char,F5 List Paragraph Char,Dot pt Char,CV text Char,Table text Char,Medium Grid 1 - Accent 21 Char,Numbered Paragraph Char"/>
    <w:basedOn w:val="DefaultParagraphFont"/>
    <w:link w:val="ListParagraph"/>
    <w:uiPriority w:val="34"/>
    <w:locked/>
    <w:rsid w:val="006C02BF"/>
    <w:rPr>
      <w:rFonts w:asciiTheme="minorHAnsi" w:hAnsiTheme="minorHAnsi"/>
      <w:sz w:val="22"/>
      <w:szCs w:val="22"/>
    </w:rPr>
  </w:style>
  <w:style w:type="paragraph" w:styleId="NormalWeb">
    <w:name w:val="Normal (Web)"/>
    <w:basedOn w:val="Normal"/>
    <w:uiPriority w:val="99"/>
    <w:unhideWhenUsed/>
    <w:rsid w:val="00840367"/>
    <w:pPr>
      <w:spacing w:before="100" w:beforeAutospacing="1" w:after="100" w:afterAutospacing="1" w:line="240" w:lineRule="auto"/>
    </w:pPr>
    <w:rPr>
      <w:rFonts w:eastAsia="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3724944">
      <w:bodyDiv w:val="1"/>
      <w:marLeft w:val="0"/>
      <w:marRight w:val="0"/>
      <w:marTop w:val="0"/>
      <w:marBottom w:val="0"/>
      <w:divBdr>
        <w:top w:val="none" w:sz="0" w:space="0" w:color="auto"/>
        <w:left w:val="none" w:sz="0" w:space="0" w:color="auto"/>
        <w:bottom w:val="none" w:sz="0" w:space="0" w:color="auto"/>
        <w:right w:val="none" w:sz="0" w:space="0" w:color="auto"/>
      </w:divBdr>
    </w:div>
    <w:div w:id="1086269858">
      <w:bodyDiv w:val="1"/>
      <w:marLeft w:val="0"/>
      <w:marRight w:val="0"/>
      <w:marTop w:val="0"/>
      <w:marBottom w:val="0"/>
      <w:divBdr>
        <w:top w:val="none" w:sz="0" w:space="0" w:color="auto"/>
        <w:left w:val="none" w:sz="0" w:space="0" w:color="auto"/>
        <w:bottom w:val="none" w:sz="0" w:space="0" w:color="auto"/>
        <w:right w:val="none" w:sz="0" w:space="0" w:color="auto"/>
      </w:divBdr>
    </w:div>
    <w:div w:id="1191526701">
      <w:bodyDiv w:val="1"/>
      <w:marLeft w:val="0"/>
      <w:marRight w:val="0"/>
      <w:marTop w:val="0"/>
      <w:marBottom w:val="0"/>
      <w:divBdr>
        <w:top w:val="none" w:sz="0" w:space="0" w:color="auto"/>
        <w:left w:val="none" w:sz="0" w:space="0" w:color="auto"/>
        <w:bottom w:val="none" w:sz="0" w:space="0" w:color="auto"/>
        <w:right w:val="none" w:sz="0" w:space="0" w:color="auto"/>
      </w:divBdr>
    </w:div>
    <w:div w:id="1438210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image" Target="media/image4.jpg"/><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3.jpg"/><Relationship Id="rId29"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7.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6.jpeg"/><Relationship Id="rId28"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2.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5.jpeg"/><Relationship Id="rId27" Type="http://schemas.openxmlformats.org/officeDocument/2006/relationships/header" Target="header8.xml"/><Relationship Id="rId30" Type="http://schemas.openxmlformats.org/officeDocument/2006/relationships/footer" Target="foot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AD.LOCAL\DFS\Home\SorensenR\Downloads\template_-_amending_instrument_0%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template_-_amending_instrument_0 (2)</Template>
  <TotalTime>6</TotalTime>
  <Pages>20</Pages>
  <Words>2411</Words>
  <Characters>13745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Rebecca Sorensen</dc:creator>
  <cp:lastModifiedBy>Rebecca Sorensen</cp:lastModifiedBy>
  <cp:revision>3</cp:revision>
  <dcterms:created xsi:type="dcterms:W3CDTF">2020-10-27T00:40:00Z</dcterms:created>
  <dcterms:modified xsi:type="dcterms:W3CDTF">2020-10-27T00:46:00Z</dcterms:modified>
</cp:coreProperties>
</file>