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08" w:rsidRDefault="000F5E08" w:rsidP="0082056B">
      <w:pPr>
        <w:pStyle w:val="Heading1"/>
      </w:pPr>
      <w:r>
        <w:t>National Capital Plan Draft Amendment 73 – Block 6 Section 4 Yarralumla (Westridge House)</w:t>
      </w:r>
    </w:p>
    <w:p w:rsidR="000F5E08" w:rsidRDefault="000F5E08" w:rsidP="000F5E08">
      <w:r>
        <w:t>Report on Consultation (September 2011)</w:t>
      </w:r>
      <w:r>
        <w:br w:type="page"/>
      </w:r>
      <w:r>
        <w:lastRenderedPageBreak/>
        <w:t>Table of Contents</w:t>
      </w:r>
    </w:p>
    <w:p w:rsidR="000F5E08" w:rsidRDefault="000F5E08" w:rsidP="000F5E08">
      <w:pPr>
        <w:pStyle w:val="TOC2"/>
        <w:tabs>
          <w:tab w:val="left" w:pos="960"/>
          <w:tab w:val="right" w:leader="dot" w:pos="8296"/>
        </w:tabs>
        <w:rPr>
          <w:noProof/>
        </w:rPr>
      </w:pPr>
      <w:r>
        <w:fldChar w:fldCharType="begin"/>
      </w:r>
      <w:r>
        <w:instrText xml:space="preserve"> TOC \o "1-3" \h \z \u </w:instrText>
      </w:r>
      <w:r>
        <w:fldChar w:fldCharType="separate"/>
      </w:r>
      <w:hyperlink w:anchor="_Toc310928358" w:history="1">
        <w:r w:rsidRPr="00244FD9">
          <w:rPr>
            <w:rStyle w:val="Hyperlink"/>
            <w:noProof/>
          </w:rPr>
          <w:t>1.1</w:t>
        </w:r>
        <w:r>
          <w:rPr>
            <w:noProof/>
          </w:rPr>
          <w:tab/>
        </w:r>
        <w:r w:rsidRPr="00244FD9">
          <w:rPr>
            <w:rStyle w:val="Hyperlink"/>
            <w:noProof/>
          </w:rPr>
          <w:t>Purpose and background</w:t>
        </w:r>
        <w:r>
          <w:rPr>
            <w:noProof/>
            <w:webHidden/>
          </w:rPr>
          <w:tab/>
        </w:r>
        <w:r>
          <w:rPr>
            <w:noProof/>
            <w:webHidden/>
          </w:rPr>
          <w:fldChar w:fldCharType="begin"/>
        </w:r>
        <w:r>
          <w:rPr>
            <w:noProof/>
            <w:webHidden/>
          </w:rPr>
          <w:instrText xml:space="preserve"> PAGEREF _Toc310928358 \h </w:instrText>
        </w:r>
        <w:r w:rsidR="00E26EF9">
          <w:rPr>
            <w:noProof/>
          </w:rPr>
        </w:r>
        <w:r>
          <w:rPr>
            <w:noProof/>
            <w:webHidden/>
          </w:rPr>
          <w:fldChar w:fldCharType="separate"/>
        </w:r>
        <w:r>
          <w:rPr>
            <w:noProof/>
            <w:webHidden/>
          </w:rPr>
          <w:t>2</w:t>
        </w:r>
        <w:r>
          <w:rPr>
            <w:noProof/>
            <w:webHidden/>
          </w:rPr>
          <w:fldChar w:fldCharType="end"/>
        </w:r>
      </w:hyperlink>
    </w:p>
    <w:p w:rsidR="000F5E08" w:rsidRDefault="000F5E08" w:rsidP="000F5E08">
      <w:pPr>
        <w:pStyle w:val="TOC2"/>
        <w:tabs>
          <w:tab w:val="left" w:pos="960"/>
          <w:tab w:val="right" w:leader="dot" w:pos="8296"/>
        </w:tabs>
        <w:rPr>
          <w:noProof/>
        </w:rPr>
      </w:pPr>
      <w:hyperlink w:anchor="_Toc310928359" w:history="1">
        <w:r w:rsidRPr="00244FD9">
          <w:rPr>
            <w:rStyle w:val="Hyperlink"/>
            <w:noProof/>
          </w:rPr>
          <w:t>1.2</w:t>
        </w:r>
        <w:r>
          <w:rPr>
            <w:noProof/>
          </w:rPr>
          <w:tab/>
        </w:r>
        <w:r w:rsidRPr="00244FD9">
          <w:rPr>
            <w:rStyle w:val="Hyperlink"/>
            <w:noProof/>
          </w:rPr>
          <w:t>Existing National Capital Plan provisions</w:t>
        </w:r>
        <w:r>
          <w:rPr>
            <w:noProof/>
            <w:webHidden/>
          </w:rPr>
          <w:tab/>
        </w:r>
        <w:r>
          <w:rPr>
            <w:noProof/>
            <w:webHidden/>
          </w:rPr>
          <w:fldChar w:fldCharType="begin"/>
        </w:r>
        <w:r>
          <w:rPr>
            <w:noProof/>
            <w:webHidden/>
          </w:rPr>
          <w:instrText xml:space="preserve"> PAGEREF _Toc310928359 \h </w:instrText>
        </w:r>
        <w:r w:rsidR="00E26EF9">
          <w:rPr>
            <w:noProof/>
          </w:rPr>
        </w:r>
        <w:r>
          <w:rPr>
            <w:noProof/>
            <w:webHidden/>
          </w:rPr>
          <w:fldChar w:fldCharType="separate"/>
        </w:r>
        <w:r>
          <w:rPr>
            <w:noProof/>
            <w:webHidden/>
          </w:rPr>
          <w:t>2</w:t>
        </w:r>
        <w:r>
          <w:rPr>
            <w:noProof/>
            <w:webHidden/>
          </w:rPr>
          <w:fldChar w:fldCharType="end"/>
        </w:r>
      </w:hyperlink>
    </w:p>
    <w:p w:rsidR="000F5E08" w:rsidRDefault="000F5E08" w:rsidP="000F5E08">
      <w:pPr>
        <w:pStyle w:val="TOC2"/>
        <w:tabs>
          <w:tab w:val="left" w:pos="960"/>
          <w:tab w:val="right" w:leader="dot" w:pos="8296"/>
        </w:tabs>
        <w:rPr>
          <w:noProof/>
        </w:rPr>
      </w:pPr>
      <w:hyperlink w:anchor="_Toc310928360" w:history="1">
        <w:r w:rsidRPr="00244FD9">
          <w:rPr>
            <w:rStyle w:val="Hyperlink"/>
            <w:noProof/>
          </w:rPr>
          <w:t>1.3</w:t>
        </w:r>
        <w:r>
          <w:rPr>
            <w:noProof/>
          </w:rPr>
          <w:tab/>
        </w:r>
        <w:r w:rsidRPr="00244FD9">
          <w:rPr>
            <w:rStyle w:val="Hyperlink"/>
            <w:noProof/>
          </w:rPr>
          <w:t>Effect of the draft Amendment to the National Capital Plan</w:t>
        </w:r>
        <w:r>
          <w:rPr>
            <w:noProof/>
            <w:webHidden/>
          </w:rPr>
          <w:tab/>
        </w:r>
        <w:r>
          <w:rPr>
            <w:noProof/>
            <w:webHidden/>
          </w:rPr>
          <w:fldChar w:fldCharType="begin"/>
        </w:r>
        <w:r>
          <w:rPr>
            <w:noProof/>
            <w:webHidden/>
          </w:rPr>
          <w:instrText xml:space="preserve"> PAGEREF _Toc310928360 \h </w:instrText>
        </w:r>
        <w:r w:rsidR="00E26EF9">
          <w:rPr>
            <w:noProof/>
          </w:rPr>
        </w:r>
        <w:r>
          <w:rPr>
            <w:noProof/>
            <w:webHidden/>
          </w:rPr>
          <w:fldChar w:fldCharType="separate"/>
        </w:r>
        <w:r>
          <w:rPr>
            <w:noProof/>
            <w:webHidden/>
          </w:rPr>
          <w:t>2</w:t>
        </w:r>
        <w:r>
          <w:rPr>
            <w:noProof/>
            <w:webHidden/>
          </w:rPr>
          <w:fldChar w:fldCharType="end"/>
        </w:r>
      </w:hyperlink>
    </w:p>
    <w:p w:rsidR="000F5E08" w:rsidRDefault="000F5E08" w:rsidP="000F5E08">
      <w:pPr>
        <w:pStyle w:val="TOC1"/>
        <w:tabs>
          <w:tab w:val="left" w:pos="480"/>
          <w:tab w:val="right" w:leader="dot" w:pos="8296"/>
        </w:tabs>
        <w:rPr>
          <w:noProof/>
        </w:rPr>
      </w:pPr>
      <w:hyperlink w:anchor="_Toc310928361" w:history="1">
        <w:r w:rsidRPr="00244FD9">
          <w:rPr>
            <w:rStyle w:val="Hyperlink"/>
            <w:noProof/>
          </w:rPr>
          <w:t>2</w:t>
        </w:r>
        <w:r>
          <w:rPr>
            <w:noProof/>
          </w:rPr>
          <w:tab/>
        </w:r>
        <w:r w:rsidRPr="00244FD9">
          <w:rPr>
            <w:rStyle w:val="Hyperlink"/>
            <w:noProof/>
          </w:rPr>
          <w:t>Consultation</w:t>
        </w:r>
        <w:r>
          <w:rPr>
            <w:noProof/>
            <w:webHidden/>
          </w:rPr>
          <w:tab/>
        </w:r>
        <w:r>
          <w:rPr>
            <w:noProof/>
            <w:webHidden/>
          </w:rPr>
          <w:fldChar w:fldCharType="begin"/>
        </w:r>
        <w:r>
          <w:rPr>
            <w:noProof/>
            <w:webHidden/>
          </w:rPr>
          <w:instrText xml:space="preserve"> PAGEREF _Toc310928361 \h </w:instrText>
        </w:r>
        <w:r w:rsidR="00E26EF9">
          <w:rPr>
            <w:noProof/>
          </w:rPr>
        </w:r>
        <w:r>
          <w:rPr>
            <w:noProof/>
            <w:webHidden/>
          </w:rPr>
          <w:fldChar w:fldCharType="separate"/>
        </w:r>
        <w:r>
          <w:rPr>
            <w:noProof/>
            <w:webHidden/>
          </w:rPr>
          <w:t>3</w:t>
        </w:r>
        <w:r>
          <w:rPr>
            <w:noProof/>
            <w:webHidden/>
          </w:rPr>
          <w:fldChar w:fldCharType="end"/>
        </w:r>
      </w:hyperlink>
    </w:p>
    <w:p w:rsidR="000F5E08" w:rsidRDefault="000F5E08" w:rsidP="000F5E08">
      <w:pPr>
        <w:pStyle w:val="TOC1"/>
        <w:tabs>
          <w:tab w:val="left" w:pos="480"/>
          <w:tab w:val="right" w:leader="dot" w:pos="8296"/>
        </w:tabs>
        <w:rPr>
          <w:noProof/>
        </w:rPr>
      </w:pPr>
      <w:hyperlink w:anchor="_Toc310928362" w:history="1">
        <w:r w:rsidRPr="00244FD9">
          <w:rPr>
            <w:rStyle w:val="Hyperlink"/>
            <w:noProof/>
          </w:rPr>
          <w:t>3</w:t>
        </w:r>
        <w:r>
          <w:rPr>
            <w:noProof/>
          </w:rPr>
          <w:tab/>
        </w:r>
        <w:r w:rsidRPr="00244FD9">
          <w:rPr>
            <w:rStyle w:val="Hyperlink"/>
            <w:noProof/>
          </w:rPr>
          <w:t>Consultation</w:t>
        </w:r>
        <w:r>
          <w:rPr>
            <w:noProof/>
            <w:webHidden/>
          </w:rPr>
          <w:tab/>
        </w:r>
        <w:r>
          <w:rPr>
            <w:noProof/>
            <w:webHidden/>
          </w:rPr>
          <w:fldChar w:fldCharType="begin"/>
        </w:r>
        <w:r>
          <w:rPr>
            <w:noProof/>
            <w:webHidden/>
          </w:rPr>
          <w:instrText xml:space="preserve"> PAGEREF _Toc310928362 \h </w:instrText>
        </w:r>
        <w:r w:rsidR="00E26EF9">
          <w:rPr>
            <w:noProof/>
          </w:rPr>
        </w:r>
        <w:r>
          <w:rPr>
            <w:noProof/>
            <w:webHidden/>
          </w:rPr>
          <w:fldChar w:fldCharType="separate"/>
        </w:r>
        <w:r>
          <w:rPr>
            <w:noProof/>
            <w:webHidden/>
          </w:rPr>
          <w:t>3</w:t>
        </w:r>
        <w:r>
          <w:rPr>
            <w:noProof/>
            <w:webHidden/>
          </w:rPr>
          <w:fldChar w:fldCharType="end"/>
        </w:r>
      </w:hyperlink>
    </w:p>
    <w:p w:rsidR="000F5E08" w:rsidRDefault="000F5E08" w:rsidP="000F5E08">
      <w:pPr>
        <w:pStyle w:val="TOC2"/>
        <w:tabs>
          <w:tab w:val="left" w:pos="960"/>
          <w:tab w:val="right" w:leader="dot" w:pos="8296"/>
        </w:tabs>
        <w:rPr>
          <w:noProof/>
        </w:rPr>
      </w:pPr>
      <w:hyperlink w:anchor="_Toc310928363" w:history="1">
        <w:r w:rsidRPr="00244FD9">
          <w:rPr>
            <w:rStyle w:val="Hyperlink"/>
            <w:noProof/>
          </w:rPr>
          <w:t>3.1</w:t>
        </w:r>
        <w:r>
          <w:rPr>
            <w:noProof/>
          </w:rPr>
          <w:tab/>
        </w:r>
        <w:r w:rsidRPr="00244FD9">
          <w:rPr>
            <w:rStyle w:val="Hyperlink"/>
            <w:noProof/>
          </w:rPr>
          <w:t>Sale of the property</w:t>
        </w:r>
        <w:r>
          <w:rPr>
            <w:noProof/>
            <w:webHidden/>
          </w:rPr>
          <w:tab/>
        </w:r>
        <w:r>
          <w:rPr>
            <w:noProof/>
            <w:webHidden/>
          </w:rPr>
          <w:fldChar w:fldCharType="begin"/>
        </w:r>
        <w:r>
          <w:rPr>
            <w:noProof/>
            <w:webHidden/>
          </w:rPr>
          <w:instrText xml:space="preserve"> PAGEREF _Toc310928363 \h </w:instrText>
        </w:r>
        <w:r w:rsidR="00E26EF9">
          <w:rPr>
            <w:noProof/>
          </w:rPr>
        </w:r>
        <w:r>
          <w:rPr>
            <w:noProof/>
            <w:webHidden/>
          </w:rPr>
          <w:fldChar w:fldCharType="separate"/>
        </w:r>
        <w:r>
          <w:rPr>
            <w:noProof/>
            <w:webHidden/>
          </w:rPr>
          <w:t>4</w:t>
        </w:r>
        <w:r>
          <w:rPr>
            <w:noProof/>
            <w:webHidden/>
          </w:rPr>
          <w:fldChar w:fldCharType="end"/>
        </w:r>
      </w:hyperlink>
    </w:p>
    <w:p w:rsidR="000F5E08" w:rsidRDefault="000F5E08" w:rsidP="000F5E08">
      <w:pPr>
        <w:pStyle w:val="TOC2"/>
        <w:tabs>
          <w:tab w:val="left" w:pos="960"/>
          <w:tab w:val="right" w:leader="dot" w:pos="8296"/>
        </w:tabs>
        <w:rPr>
          <w:noProof/>
        </w:rPr>
      </w:pPr>
      <w:hyperlink w:anchor="_Toc310928364" w:history="1">
        <w:r w:rsidRPr="00244FD9">
          <w:rPr>
            <w:rStyle w:val="Hyperlink"/>
            <w:noProof/>
          </w:rPr>
          <w:t>3.2</w:t>
        </w:r>
        <w:r>
          <w:rPr>
            <w:noProof/>
          </w:rPr>
          <w:tab/>
        </w:r>
        <w:r w:rsidRPr="00244FD9">
          <w:rPr>
            <w:rStyle w:val="Hyperlink"/>
            <w:noProof/>
          </w:rPr>
          <w:t>Heritage</w:t>
        </w:r>
        <w:r>
          <w:rPr>
            <w:noProof/>
            <w:webHidden/>
          </w:rPr>
          <w:tab/>
        </w:r>
        <w:r>
          <w:rPr>
            <w:noProof/>
            <w:webHidden/>
          </w:rPr>
          <w:fldChar w:fldCharType="begin"/>
        </w:r>
        <w:r>
          <w:rPr>
            <w:noProof/>
            <w:webHidden/>
          </w:rPr>
          <w:instrText xml:space="preserve"> PAGEREF _Toc310928364 \h </w:instrText>
        </w:r>
        <w:r w:rsidR="00E26EF9">
          <w:rPr>
            <w:noProof/>
          </w:rPr>
        </w:r>
        <w:r>
          <w:rPr>
            <w:noProof/>
            <w:webHidden/>
          </w:rPr>
          <w:fldChar w:fldCharType="separate"/>
        </w:r>
        <w:r>
          <w:rPr>
            <w:noProof/>
            <w:webHidden/>
          </w:rPr>
          <w:t>4</w:t>
        </w:r>
        <w:r>
          <w:rPr>
            <w:noProof/>
            <w:webHidden/>
          </w:rPr>
          <w:fldChar w:fldCharType="end"/>
        </w:r>
      </w:hyperlink>
    </w:p>
    <w:p w:rsidR="000F5E08" w:rsidRDefault="000F5E08" w:rsidP="000F5E08">
      <w:pPr>
        <w:pStyle w:val="TOC2"/>
        <w:tabs>
          <w:tab w:val="left" w:pos="960"/>
          <w:tab w:val="right" w:leader="dot" w:pos="8296"/>
        </w:tabs>
        <w:rPr>
          <w:noProof/>
        </w:rPr>
      </w:pPr>
      <w:hyperlink w:anchor="_Toc310928365" w:history="1">
        <w:r w:rsidRPr="00244FD9">
          <w:rPr>
            <w:rStyle w:val="Hyperlink"/>
            <w:noProof/>
          </w:rPr>
          <w:t>3.3</w:t>
        </w:r>
        <w:r>
          <w:rPr>
            <w:noProof/>
          </w:rPr>
          <w:tab/>
        </w:r>
        <w:r w:rsidRPr="00244FD9">
          <w:rPr>
            <w:rStyle w:val="Hyperlink"/>
            <w:noProof/>
          </w:rPr>
          <w:t>Public access</w:t>
        </w:r>
        <w:r>
          <w:rPr>
            <w:noProof/>
            <w:webHidden/>
          </w:rPr>
          <w:tab/>
        </w:r>
        <w:r>
          <w:rPr>
            <w:noProof/>
            <w:webHidden/>
          </w:rPr>
          <w:fldChar w:fldCharType="begin"/>
        </w:r>
        <w:r>
          <w:rPr>
            <w:noProof/>
            <w:webHidden/>
          </w:rPr>
          <w:instrText xml:space="preserve"> PAGEREF _Toc310928365 \h </w:instrText>
        </w:r>
        <w:r w:rsidR="00E26EF9">
          <w:rPr>
            <w:noProof/>
          </w:rPr>
        </w:r>
        <w:r>
          <w:rPr>
            <w:noProof/>
            <w:webHidden/>
          </w:rPr>
          <w:fldChar w:fldCharType="separate"/>
        </w:r>
        <w:r>
          <w:rPr>
            <w:noProof/>
            <w:webHidden/>
          </w:rPr>
          <w:t>4</w:t>
        </w:r>
        <w:r>
          <w:rPr>
            <w:noProof/>
            <w:webHidden/>
          </w:rPr>
          <w:fldChar w:fldCharType="end"/>
        </w:r>
      </w:hyperlink>
    </w:p>
    <w:p w:rsidR="000F5E08" w:rsidRDefault="000F5E08" w:rsidP="000F5E08">
      <w:pPr>
        <w:pStyle w:val="TOC2"/>
        <w:tabs>
          <w:tab w:val="left" w:pos="960"/>
          <w:tab w:val="right" w:leader="dot" w:pos="8296"/>
        </w:tabs>
        <w:rPr>
          <w:noProof/>
        </w:rPr>
      </w:pPr>
      <w:hyperlink w:anchor="_Toc310928366" w:history="1">
        <w:r w:rsidRPr="00244FD9">
          <w:rPr>
            <w:rStyle w:val="Hyperlink"/>
            <w:noProof/>
          </w:rPr>
          <w:t>3.4</w:t>
        </w:r>
        <w:r>
          <w:rPr>
            <w:noProof/>
          </w:rPr>
          <w:tab/>
        </w:r>
        <w:r w:rsidRPr="00244FD9">
          <w:rPr>
            <w:rStyle w:val="Hyperlink"/>
            <w:noProof/>
          </w:rPr>
          <w:t>Public notice</w:t>
        </w:r>
        <w:r>
          <w:rPr>
            <w:noProof/>
            <w:webHidden/>
          </w:rPr>
          <w:tab/>
        </w:r>
        <w:r>
          <w:rPr>
            <w:noProof/>
            <w:webHidden/>
          </w:rPr>
          <w:fldChar w:fldCharType="begin"/>
        </w:r>
        <w:r>
          <w:rPr>
            <w:noProof/>
            <w:webHidden/>
          </w:rPr>
          <w:instrText xml:space="preserve"> PAGEREF _Toc310928366 \h </w:instrText>
        </w:r>
        <w:r w:rsidR="00E26EF9">
          <w:rPr>
            <w:noProof/>
          </w:rPr>
        </w:r>
        <w:r>
          <w:rPr>
            <w:noProof/>
            <w:webHidden/>
          </w:rPr>
          <w:fldChar w:fldCharType="separate"/>
        </w:r>
        <w:r>
          <w:rPr>
            <w:noProof/>
            <w:webHidden/>
          </w:rPr>
          <w:t>4</w:t>
        </w:r>
        <w:r>
          <w:rPr>
            <w:noProof/>
            <w:webHidden/>
          </w:rPr>
          <w:fldChar w:fldCharType="end"/>
        </w:r>
      </w:hyperlink>
    </w:p>
    <w:p w:rsidR="000F5E08" w:rsidRDefault="000F5E08" w:rsidP="000F5E08">
      <w:pPr>
        <w:pStyle w:val="TOC2"/>
        <w:tabs>
          <w:tab w:val="left" w:pos="960"/>
          <w:tab w:val="right" w:leader="dot" w:pos="8296"/>
        </w:tabs>
        <w:rPr>
          <w:noProof/>
        </w:rPr>
      </w:pPr>
      <w:hyperlink w:anchor="_Toc310928367" w:history="1">
        <w:r w:rsidRPr="00244FD9">
          <w:rPr>
            <w:rStyle w:val="Hyperlink"/>
            <w:noProof/>
          </w:rPr>
          <w:t>3.5</w:t>
        </w:r>
        <w:r>
          <w:rPr>
            <w:noProof/>
          </w:rPr>
          <w:tab/>
        </w:r>
        <w:r w:rsidRPr="00244FD9">
          <w:rPr>
            <w:rStyle w:val="Hyperlink"/>
            <w:noProof/>
          </w:rPr>
          <w:t>Fencing</w:t>
        </w:r>
        <w:r>
          <w:rPr>
            <w:noProof/>
            <w:webHidden/>
          </w:rPr>
          <w:tab/>
        </w:r>
        <w:r>
          <w:rPr>
            <w:noProof/>
            <w:webHidden/>
          </w:rPr>
          <w:fldChar w:fldCharType="begin"/>
        </w:r>
        <w:r>
          <w:rPr>
            <w:noProof/>
            <w:webHidden/>
          </w:rPr>
          <w:instrText xml:space="preserve"> PAGEREF _Toc310928367 \h </w:instrText>
        </w:r>
        <w:r w:rsidR="00E26EF9">
          <w:rPr>
            <w:noProof/>
          </w:rPr>
        </w:r>
        <w:r>
          <w:rPr>
            <w:noProof/>
            <w:webHidden/>
          </w:rPr>
          <w:fldChar w:fldCharType="separate"/>
        </w:r>
        <w:r>
          <w:rPr>
            <w:noProof/>
            <w:webHidden/>
          </w:rPr>
          <w:t>5</w:t>
        </w:r>
        <w:r>
          <w:rPr>
            <w:noProof/>
            <w:webHidden/>
          </w:rPr>
          <w:fldChar w:fldCharType="end"/>
        </w:r>
      </w:hyperlink>
    </w:p>
    <w:p w:rsidR="000F5E08" w:rsidRDefault="000F5E08" w:rsidP="000F5E08">
      <w:pPr>
        <w:pStyle w:val="TOC2"/>
        <w:tabs>
          <w:tab w:val="left" w:pos="960"/>
          <w:tab w:val="right" w:leader="dot" w:pos="8296"/>
        </w:tabs>
        <w:rPr>
          <w:noProof/>
        </w:rPr>
      </w:pPr>
      <w:hyperlink w:anchor="_Toc310928368" w:history="1">
        <w:r w:rsidRPr="00244FD9">
          <w:rPr>
            <w:rStyle w:val="Hyperlink"/>
            <w:noProof/>
          </w:rPr>
          <w:t>3.6</w:t>
        </w:r>
        <w:r>
          <w:rPr>
            <w:noProof/>
          </w:rPr>
          <w:tab/>
        </w:r>
        <w:r w:rsidRPr="00244FD9">
          <w:rPr>
            <w:rStyle w:val="Hyperlink"/>
            <w:noProof/>
          </w:rPr>
          <w:t>Future rezoning</w:t>
        </w:r>
        <w:r>
          <w:rPr>
            <w:noProof/>
            <w:webHidden/>
          </w:rPr>
          <w:tab/>
        </w:r>
        <w:r>
          <w:rPr>
            <w:noProof/>
            <w:webHidden/>
          </w:rPr>
          <w:fldChar w:fldCharType="begin"/>
        </w:r>
        <w:r>
          <w:rPr>
            <w:noProof/>
            <w:webHidden/>
          </w:rPr>
          <w:instrText xml:space="preserve"> PAGEREF _Toc310928368 \h </w:instrText>
        </w:r>
        <w:r w:rsidR="00E26EF9">
          <w:rPr>
            <w:noProof/>
          </w:rPr>
        </w:r>
        <w:r>
          <w:rPr>
            <w:noProof/>
            <w:webHidden/>
          </w:rPr>
          <w:fldChar w:fldCharType="separate"/>
        </w:r>
        <w:r>
          <w:rPr>
            <w:noProof/>
            <w:webHidden/>
          </w:rPr>
          <w:t>5</w:t>
        </w:r>
        <w:r>
          <w:rPr>
            <w:noProof/>
            <w:webHidden/>
          </w:rPr>
          <w:fldChar w:fldCharType="end"/>
        </w:r>
      </w:hyperlink>
    </w:p>
    <w:p w:rsidR="000F5E08" w:rsidRDefault="000F5E08" w:rsidP="000F5E08">
      <w:pPr>
        <w:pStyle w:val="TOC2"/>
        <w:tabs>
          <w:tab w:val="left" w:pos="960"/>
          <w:tab w:val="right" w:leader="dot" w:pos="8296"/>
        </w:tabs>
        <w:rPr>
          <w:noProof/>
        </w:rPr>
      </w:pPr>
      <w:hyperlink w:anchor="_Toc310928369" w:history="1">
        <w:r w:rsidRPr="00244FD9">
          <w:rPr>
            <w:rStyle w:val="Hyperlink"/>
            <w:noProof/>
          </w:rPr>
          <w:t>3.7</w:t>
        </w:r>
        <w:r>
          <w:rPr>
            <w:noProof/>
          </w:rPr>
          <w:tab/>
        </w:r>
        <w:r w:rsidRPr="00244FD9">
          <w:rPr>
            <w:rStyle w:val="Hyperlink"/>
            <w:noProof/>
          </w:rPr>
          <w:t>Notion of support</w:t>
        </w:r>
        <w:r>
          <w:rPr>
            <w:noProof/>
            <w:webHidden/>
          </w:rPr>
          <w:tab/>
        </w:r>
        <w:r>
          <w:rPr>
            <w:noProof/>
            <w:webHidden/>
          </w:rPr>
          <w:fldChar w:fldCharType="begin"/>
        </w:r>
        <w:r>
          <w:rPr>
            <w:noProof/>
            <w:webHidden/>
          </w:rPr>
          <w:instrText xml:space="preserve"> PAGEREF _Toc310928369 \h </w:instrText>
        </w:r>
        <w:r w:rsidR="00E26EF9">
          <w:rPr>
            <w:noProof/>
          </w:rPr>
        </w:r>
        <w:r>
          <w:rPr>
            <w:noProof/>
            <w:webHidden/>
          </w:rPr>
          <w:fldChar w:fldCharType="separate"/>
        </w:r>
        <w:r>
          <w:rPr>
            <w:noProof/>
            <w:webHidden/>
          </w:rPr>
          <w:t>5</w:t>
        </w:r>
        <w:r>
          <w:rPr>
            <w:noProof/>
            <w:webHidden/>
          </w:rPr>
          <w:fldChar w:fldCharType="end"/>
        </w:r>
      </w:hyperlink>
    </w:p>
    <w:p w:rsidR="000F5E08" w:rsidRDefault="000F5E08" w:rsidP="000F5E08">
      <w:pPr>
        <w:pStyle w:val="TOC1"/>
        <w:tabs>
          <w:tab w:val="left" w:pos="480"/>
          <w:tab w:val="right" w:leader="dot" w:pos="8296"/>
        </w:tabs>
        <w:rPr>
          <w:noProof/>
        </w:rPr>
      </w:pPr>
      <w:hyperlink w:anchor="_Toc310928370" w:history="1">
        <w:r w:rsidRPr="00244FD9">
          <w:rPr>
            <w:rStyle w:val="Hyperlink"/>
            <w:noProof/>
          </w:rPr>
          <w:t>4</w:t>
        </w:r>
        <w:r>
          <w:rPr>
            <w:noProof/>
          </w:rPr>
          <w:tab/>
        </w:r>
        <w:r w:rsidRPr="00244FD9">
          <w:rPr>
            <w:rStyle w:val="Hyperlink"/>
            <w:noProof/>
          </w:rPr>
          <w:t>Recommended changes to draft Amendment 73</w:t>
        </w:r>
        <w:r>
          <w:rPr>
            <w:noProof/>
            <w:webHidden/>
          </w:rPr>
          <w:tab/>
        </w:r>
        <w:r>
          <w:rPr>
            <w:noProof/>
            <w:webHidden/>
          </w:rPr>
          <w:fldChar w:fldCharType="begin"/>
        </w:r>
        <w:r>
          <w:rPr>
            <w:noProof/>
            <w:webHidden/>
          </w:rPr>
          <w:instrText xml:space="preserve"> PAGEREF _Toc310928370 \h </w:instrText>
        </w:r>
        <w:r w:rsidR="00E26EF9">
          <w:rPr>
            <w:noProof/>
          </w:rPr>
        </w:r>
        <w:r>
          <w:rPr>
            <w:noProof/>
            <w:webHidden/>
          </w:rPr>
          <w:fldChar w:fldCharType="separate"/>
        </w:r>
        <w:r>
          <w:rPr>
            <w:noProof/>
            <w:webHidden/>
          </w:rPr>
          <w:t>5</w:t>
        </w:r>
        <w:r>
          <w:rPr>
            <w:noProof/>
            <w:webHidden/>
          </w:rPr>
          <w:fldChar w:fldCharType="end"/>
        </w:r>
      </w:hyperlink>
    </w:p>
    <w:p w:rsidR="000F5E08" w:rsidRDefault="000F5E08" w:rsidP="000F5E08">
      <w:pPr>
        <w:pStyle w:val="TOC1"/>
        <w:tabs>
          <w:tab w:val="left" w:pos="480"/>
          <w:tab w:val="right" w:leader="dot" w:pos="8296"/>
        </w:tabs>
        <w:rPr>
          <w:noProof/>
        </w:rPr>
      </w:pPr>
      <w:hyperlink w:anchor="_Toc310928371" w:history="1">
        <w:r w:rsidRPr="00244FD9">
          <w:rPr>
            <w:rStyle w:val="Hyperlink"/>
            <w:noProof/>
          </w:rPr>
          <w:t>5</w:t>
        </w:r>
        <w:r>
          <w:rPr>
            <w:noProof/>
          </w:rPr>
          <w:tab/>
        </w:r>
        <w:r w:rsidRPr="00244FD9">
          <w:rPr>
            <w:rStyle w:val="Hyperlink"/>
            <w:noProof/>
          </w:rPr>
          <w:t>Conclusion</w:t>
        </w:r>
        <w:r>
          <w:rPr>
            <w:noProof/>
            <w:webHidden/>
          </w:rPr>
          <w:tab/>
        </w:r>
        <w:r>
          <w:rPr>
            <w:noProof/>
            <w:webHidden/>
          </w:rPr>
          <w:fldChar w:fldCharType="begin"/>
        </w:r>
        <w:r>
          <w:rPr>
            <w:noProof/>
            <w:webHidden/>
          </w:rPr>
          <w:instrText xml:space="preserve"> PAGEREF _Toc310928371 \h </w:instrText>
        </w:r>
        <w:r w:rsidR="00E26EF9">
          <w:rPr>
            <w:noProof/>
          </w:rPr>
        </w:r>
        <w:r>
          <w:rPr>
            <w:noProof/>
            <w:webHidden/>
          </w:rPr>
          <w:fldChar w:fldCharType="separate"/>
        </w:r>
        <w:r>
          <w:rPr>
            <w:noProof/>
            <w:webHidden/>
          </w:rPr>
          <w:t>5</w:t>
        </w:r>
        <w:r>
          <w:rPr>
            <w:noProof/>
            <w:webHidden/>
          </w:rPr>
          <w:fldChar w:fldCharType="end"/>
        </w:r>
      </w:hyperlink>
    </w:p>
    <w:p w:rsidR="000F5E08" w:rsidRDefault="000F5E08" w:rsidP="000F5E08">
      <w:pPr>
        <w:pStyle w:val="TOC1"/>
        <w:tabs>
          <w:tab w:val="left" w:pos="480"/>
          <w:tab w:val="right" w:leader="dot" w:pos="8296"/>
        </w:tabs>
        <w:rPr>
          <w:noProof/>
        </w:rPr>
      </w:pPr>
      <w:hyperlink w:anchor="_Toc310928372" w:history="1">
        <w:r w:rsidRPr="00244FD9">
          <w:rPr>
            <w:rStyle w:val="Hyperlink"/>
            <w:noProof/>
          </w:rPr>
          <w:t>6</w:t>
        </w:r>
        <w:r>
          <w:rPr>
            <w:noProof/>
          </w:rPr>
          <w:tab/>
        </w:r>
        <w:r w:rsidRPr="00244FD9">
          <w:rPr>
            <w:rStyle w:val="Hyperlink"/>
            <w:noProof/>
          </w:rPr>
          <w:t>Attachments</w:t>
        </w:r>
        <w:r>
          <w:rPr>
            <w:noProof/>
            <w:webHidden/>
          </w:rPr>
          <w:tab/>
        </w:r>
        <w:r>
          <w:rPr>
            <w:noProof/>
            <w:webHidden/>
          </w:rPr>
          <w:fldChar w:fldCharType="begin"/>
        </w:r>
        <w:r>
          <w:rPr>
            <w:noProof/>
            <w:webHidden/>
          </w:rPr>
          <w:instrText xml:space="preserve"> PAGEREF _Toc310928372 \h </w:instrText>
        </w:r>
        <w:r w:rsidR="00E26EF9">
          <w:rPr>
            <w:noProof/>
          </w:rPr>
        </w:r>
        <w:r>
          <w:rPr>
            <w:noProof/>
            <w:webHidden/>
          </w:rPr>
          <w:fldChar w:fldCharType="separate"/>
        </w:r>
        <w:r>
          <w:rPr>
            <w:noProof/>
            <w:webHidden/>
          </w:rPr>
          <w:t>5</w:t>
        </w:r>
        <w:r>
          <w:rPr>
            <w:noProof/>
            <w:webHidden/>
          </w:rPr>
          <w:fldChar w:fldCharType="end"/>
        </w:r>
      </w:hyperlink>
    </w:p>
    <w:p w:rsidR="000F5E08" w:rsidRDefault="000F5E08" w:rsidP="000F5E08">
      <w:pPr>
        <w:pStyle w:val="TOC2"/>
        <w:tabs>
          <w:tab w:val="right" w:leader="dot" w:pos="8296"/>
        </w:tabs>
        <w:rPr>
          <w:noProof/>
        </w:rPr>
      </w:pPr>
      <w:hyperlink w:anchor="_Toc310928373" w:history="1">
        <w:r w:rsidRPr="00244FD9">
          <w:rPr>
            <w:rStyle w:val="Hyperlink"/>
            <w:noProof/>
          </w:rPr>
          <w:t>Attachment 1</w:t>
        </w:r>
        <w:r>
          <w:rPr>
            <w:noProof/>
            <w:webHidden/>
          </w:rPr>
          <w:tab/>
        </w:r>
        <w:r>
          <w:rPr>
            <w:noProof/>
            <w:webHidden/>
          </w:rPr>
          <w:fldChar w:fldCharType="begin"/>
        </w:r>
        <w:r>
          <w:rPr>
            <w:noProof/>
            <w:webHidden/>
          </w:rPr>
          <w:instrText xml:space="preserve"> PAGEREF _Toc310928373 \h </w:instrText>
        </w:r>
        <w:r w:rsidR="00E26EF9">
          <w:rPr>
            <w:noProof/>
          </w:rPr>
        </w:r>
        <w:r>
          <w:rPr>
            <w:noProof/>
            <w:webHidden/>
          </w:rPr>
          <w:fldChar w:fldCharType="separate"/>
        </w:r>
        <w:r>
          <w:rPr>
            <w:noProof/>
            <w:webHidden/>
          </w:rPr>
          <w:t>7</w:t>
        </w:r>
        <w:r>
          <w:rPr>
            <w:noProof/>
            <w:webHidden/>
          </w:rPr>
          <w:fldChar w:fldCharType="end"/>
        </w:r>
      </w:hyperlink>
    </w:p>
    <w:p w:rsidR="000F5E08" w:rsidRDefault="000F5E08" w:rsidP="000F5E08">
      <w:pPr>
        <w:pStyle w:val="TOC2"/>
        <w:tabs>
          <w:tab w:val="right" w:leader="dot" w:pos="8296"/>
        </w:tabs>
        <w:rPr>
          <w:noProof/>
        </w:rPr>
      </w:pPr>
      <w:hyperlink w:anchor="_Toc310928374" w:history="1">
        <w:r w:rsidRPr="00244FD9">
          <w:rPr>
            <w:rStyle w:val="Hyperlink"/>
            <w:noProof/>
          </w:rPr>
          <w:t>Attachment 2</w:t>
        </w:r>
        <w:r>
          <w:rPr>
            <w:noProof/>
            <w:webHidden/>
          </w:rPr>
          <w:tab/>
        </w:r>
        <w:r>
          <w:rPr>
            <w:noProof/>
            <w:webHidden/>
          </w:rPr>
          <w:fldChar w:fldCharType="begin"/>
        </w:r>
        <w:r>
          <w:rPr>
            <w:noProof/>
            <w:webHidden/>
          </w:rPr>
          <w:instrText xml:space="preserve"> PAGEREF _Toc310928374 \h </w:instrText>
        </w:r>
        <w:r w:rsidR="00E26EF9">
          <w:rPr>
            <w:noProof/>
          </w:rPr>
        </w:r>
        <w:r>
          <w:rPr>
            <w:noProof/>
            <w:webHidden/>
          </w:rPr>
          <w:fldChar w:fldCharType="separate"/>
        </w:r>
        <w:r>
          <w:rPr>
            <w:noProof/>
            <w:webHidden/>
          </w:rPr>
          <w:t>8</w:t>
        </w:r>
        <w:r>
          <w:rPr>
            <w:noProof/>
            <w:webHidden/>
          </w:rPr>
          <w:fldChar w:fldCharType="end"/>
        </w:r>
      </w:hyperlink>
    </w:p>
    <w:p w:rsidR="000F5E08" w:rsidRDefault="000F5E08" w:rsidP="000F5E08">
      <w:pPr>
        <w:pStyle w:val="TOC2"/>
        <w:tabs>
          <w:tab w:val="right" w:leader="dot" w:pos="8296"/>
        </w:tabs>
        <w:rPr>
          <w:noProof/>
        </w:rPr>
      </w:pPr>
      <w:hyperlink w:anchor="_Toc310928375" w:history="1">
        <w:r w:rsidRPr="00244FD9">
          <w:rPr>
            <w:rStyle w:val="Hyperlink"/>
            <w:noProof/>
          </w:rPr>
          <w:t>Attachment 3</w:t>
        </w:r>
        <w:r>
          <w:rPr>
            <w:noProof/>
            <w:webHidden/>
          </w:rPr>
          <w:tab/>
        </w:r>
        <w:r>
          <w:rPr>
            <w:noProof/>
            <w:webHidden/>
          </w:rPr>
          <w:fldChar w:fldCharType="begin"/>
        </w:r>
        <w:r>
          <w:rPr>
            <w:noProof/>
            <w:webHidden/>
          </w:rPr>
          <w:instrText xml:space="preserve"> PAGEREF _Toc310928375 \h </w:instrText>
        </w:r>
        <w:r w:rsidR="00E26EF9">
          <w:rPr>
            <w:noProof/>
          </w:rPr>
        </w:r>
        <w:r>
          <w:rPr>
            <w:noProof/>
            <w:webHidden/>
          </w:rPr>
          <w:fldChar w:fldCharType="separate"/>
        </w:r>
        <w:r>
          <w:rPr>
            <w:noProof/>
            <w:webHidden/>
          </w:rPr>
          <w:t>9</w:t>
        </w:r>
        <w:r>
          <w:rPr>
            <w:noProof/>
            <w:webHidden/>
          </w:rPr>
          <w:fldChar w:fldCharType="end"/>
        </w:r>
      </w:hyperlink>
    </w:p>
    <w:p w:rsidR="000F5E08" w:rsidRDefault="000F5E08" w:rsidP="000F5E08">
      <w:pPr>
        <w:pStyle w:val="TOC2"/>
        <w:tabs>
          <w:tab w:val="right" w:leader="dot" w:pos="8296"/>
        </w:tabs>
        <w:rPr>
          <w:noProof/>
        </w:rPr>
      </w:pPr>
      <w:hyperlink w:anchor="_Toc310928376" w:history="1">
        <w:r w:rsidRPr="00244FD9">
          <w:rPr>
            <w:rStyle w:val="Hyperlink"/>
            <w:noProof/>
          </w:rPr>
          <w:t>Attachment 4 – Summary of submissions</w:t>
        </w:r>
        <w:r>
          <w:rPr>
            <w:noProof/>
            <w:webHidden/>
          </w:rPr>
          <w:tab/>
        </w:r>
        <w:r>
          <w:rPr>
            <w:noProof/>
            <w:webHidden/>
          </w:rPr>
          <w:fldChar w:fldCharType="begin"/>
        </w:r>
        <w:r>
          <w:rPr>
            <w:noProof/>
            <w:webHidden/>
          </w:rPr>
          <w:instrText xml:space="preserve"> PAGEREF _Toc310928376 \h </w:instrText>
        </w:r>
        <w:r w:rsidR="00E26EF9">
          <w:rPr>
            <w:noProof/>
          </w:rPr>
        </w:r>
        <w:r>
          <w:rPr>
            <w:noProof/>
            <w:webHidden/>
          </w:rPr>
          <w:fldChar w:fldCharType="separate"/>
        </w:r>
        <w:r>
          <w:rPr>
            <w:noProof/>
            <w:webHidden/>
          </w:rPr>
          <w:t>10</w:t>
        </w:r>
        <w:r>
          <w:rPr>
            <w:noProof/>
            <w:webHidden/>
          </w:rPr>
          <w:fldChar w:fldCharType="end"/>
        </w:r>
      </w:hyperlink>
    </w:p>
    <w:p w:rsidR="000F5E08" w:rsidRDefault="000F5E08" w:rsidP="000F5E08">
      <w:pPr>
        <w:pStyle w:val="TOC2"/>
        <w:tabs>
          <w:tab w:val="right" w:leader="dot" w:pos="8296"/>
        </w:tabs>
        <w:rPr>
          <w:noProof/>
        </w:rPr>
      </w:pPr>
      <w:hyperlink w:anchor="_Toc310928377" w:history="1">
        <w:r w:rsidRPr="00244FD9">
          <w:rPr>
            <w:rStyle w:val="Hyperlink"/>
            <w:noProof/>
          </w:rPr>
          <w:t>Attachment 5</w:t>
        </w:r>
        <w:r>
          <w:rPr>
            <w:noProof/>
            <w:webHidden/>
          </w:rPr>
          <w:tab/>
        </w:r>
        <w:r>
          <w:rPr>
            <w:noProof/>
            <w:webHidden/>
          </w:rPr>
          <w:fldChar w:fldCharType="begin"/>
        </w:r>
        <w:r>
          <w:rPr>
            <w:noProof/>
            <w:webHidden/>
          </w:rPr>
          <w:instrText xml:space="preserve"> PAGEREF _Toc310928377 \h </w:instrText>
        </w:r>
        <w:r w:rsidR="00E26EF9">
          <w:rPr>
            <w:noProof/>
          </w:rPr>
        </w:r>
        <w:r>
          <w:rPr>
            <w:noProof/>
            <w:webHidden/>
          </w:rPr>
          <w:fldChar w:fldCharType="separate"/>
        </w:r>
        <w:r>
          <w:rPr>
            <w:noProof/>
            <w:webHidden/>
          </w:rPr>
          <w:t>15</w:t>
        </w:r>
        <w:r>
          <w:rPr>
            <w:noProof/>
            <w:webHidden/>
          </w:rPr>
          <w:fldChar w:fldCharType="end"/>
        </w:r>
      </w:hyperlink>
    </w:p>
    <w:p w:rsidR="00C11EAC" w:rsidRDefault="000F5E08" w:rsidP="0082056B">
      <w:pPr>
        <w:pStyle w:val="Heading1"/>
      </w:pPr>
      <w:r>
        <w:fldChar w:fldCharType="end"/>
      </w:r>
      <w:r w:rsidR="008F24B6">
        <w:br w:type="page"/>
      </w:r>
      <w:r w:rsidR="008F24B6">
        <w:lastRenderedPageBreak/>
        <w:t>1</w:t>
      </w:r>
      <w:r w:rsidR="008F24B6">
        <w:tab/>
        <w:t xml:space="preserve">Introduction </w:t>
      </w:r>
    </w:p>
    <w:p w:rsidR="008F24B6" w:rsidRDefault="008F24B6" w:rsidP="008F24B6">
      <w:pPr>
        <w:pStyle w:val="Heading2"/>
      </w:pPr>
      <w:bookmarkStart w:id="0" w:name="_Toc310928358"/>
      <w:r>
        <w:t>1.1</w:t>
      </w:r>
      <w:r>
        <w:tab/>
        <w:t>Purpose and background</w:t>
      </w:r>
      <w:bookmarkEnd w:id="0"/>
    </w:p>
    <w:p w:rsidR="008F24B6" w:rsidRPr="00417862" w:rsidRDefault="008F24B6" w:rsidP="008F24B6">
      <w:pPr>
        <w:autoSpaceDE w:val="0"/>
        <w:autoSpaceDN w:val="0"/>
        <w:adjustRightInd w:val="0"/>
        <w:rPr>
          <w:color w:val="000000"/>
        </w:rPr>
      </w:pPr>
      <w:r w:rsidRPr="00215D92">
        <w:rPr>
          <w:color w:val="000000"/>
        </w:rPr>
        <w:t>This report summarises the issues raised during the public consultation</w:t>
      </w:r>
      <w:r>
        <w:rPr>
          <w:color w:val="000000"/>
        </w:rPr>
        <w:t xml:space="preserve"> process </w:t>
      </w:r>
      <w:r w:rsidRPr="00215D92">
        <w:rPr>
          <w:color w:val="000000"/>
        </w:rPr>
        <w:t xml:space="preserve"> undertaken by the Nati</w:t>
      </w:r>
      <w:r>
        <w:rPr>
          <w:color w:val="000000"/>
        </w:rPr>
        <w:t xml:space="preserve">onal Capital Authority (NCA) on </w:t>
      </w:r>
      <w:r w:rsidRPr="00215D92">
        <w:rPr>
          <w:color w:val="000000"/>
        </w:rPr>
        <w:t>Draft Amendment 73</w:t>
      </w:r>
      <w:r>
        <w:rPr>
          <w:color w:val="000000"/>
        </w:rPr>
        <w:t xml:space="preserve"> (DA73) -</w:t>
      </w:r>
      <w:r w:rsidRPr="00215D92">
        <w:rPr>
          <w:color w:val="000000"/>
        </w:rPr>
        <w:t xml:space="preserve"> Block 6 Section 4 Yarralumla</w:t>
      </w:r>
      <w:r>
        <w:rPr>
          <w:color w:val="000000"/>
        </w:rPr>
        <w:t xml:space="preserve">, (Westridge House) to the National Capital Plan (the Plan). </w:t>
      </w:r>
    </w:p>
    <w:p w:rsidR="008F24B6" w:rsidRPr="008B4EB4" w:rsidRDefault="008F24B6" w:rsidP="008F24B6">
      <w:r w:rsidRPr="008B4EB4">
        <w:t>The purpose of th</w:t>
      </w:r>
      <w:r>
        <w:t xml:space="preserve">e draft </w:t>
      </w:r>
      <w:r w:rsidRPr="008B4EB4">
        <w:t xml:space="preserve">amendment is to </w:t>
      </w:r>
      <w:r>
        <w:t>change the</w:t>
      </w:r>
      <w:r w:rsidRPr="008B4EB4">
        <w:t xml:space="preserve"> land use</w:t>
      </w:r>
      <w:r>
        <w:t xml:space="preserve"> policy of Block 6 Section 4 Yarralumla (Westridge House) from ‘Community Facility’ to ‘Single Dwelling Housing’. This will enable the property to be util</w:t>
      </w:r>
      <w:r w:rsidR="00417862">
        <w:t>ised as a private residence.</w:t>
      </w:r>
    </w:p>
    <w:p w:rsidR="008F24B6" w:rsidRPr="00417862" w:rsidRDefault="008F24B6" w:rsidP="008F24B6">
      <w:pPr>
        <w:autoSpaceDE w:val="0"/>
        <w:autoSpaceDN w:val="0"/>
        <w:adjustRightInd w:val="0"/>
      </w:pPr>
      <w:r>
        <w:t xml:space="preserve">The statutory requirements of the Plan amendment process are described in the </w:t>
      </w:r>
      <w:smartTag w:uri="urn:schemas-microsoft-com:office:smarttags" w:element="State">
        <w:smartTag w:uri="urn:schemas-microsoft-com:office:smarttags" w:element="place">
          <w:r>
            <w:rPr>
              <w:i/>
            </w:rPr>
            <w:t>Australian Capital Territory</w:t>
          </w:r>
        </w:smartTag>
      </w:smartTag>
      <w:r>
        <w:rPr>
          <w:i/>
        </w:rPr>
        <w:t xml:space="preserve"> (Planning and Land Management) Act 1988 </w:t>
      </w:r>
      <w:r>
        <w:t>(PALM Act</w:t>
      </w:r>
      <w:r w:rsidRPr="004A79EE">
        <w:t>)</w:t>
      </w:r>
      <w:r>
        <w:t>.</w:t>
      </w:r>
    </w:p>
    <w:p w:rsidR="008F24B6" w:rsidRPr="00417862" w:rsidRDefault="008F24B6" w:rsidP="00417862">
      <w:r>
        <w:t>West</w:t>
      </w:r>
      <w:r w:rsidRPr="00A331BA">
        <w:t xml:space="preserve">ridge House was </w:t>
      </w:r>
      <w:r>
        <w:t xml:space="preserve">originally </w:t>
      </w:r>
      <w:r w:rsidRPr="00A331BA">
        <w:t>designed as the principal</w:t>
      </w:r>
      <w:r>
        <w:t>’s</w:t>
      </w:r>
      <w:r w:rsidRPr="00A331BA">
        <w:t xml:space="preserve"> residence for the Australian Forestry School</w:t>
      </w:r>
      <w:r>
        <w:t xml:space="preserve"> (AFS) and construction was officially completed in December 1927. Until recently</w:t>
      </w:r>
      <w:r w:rsidRPr="00C67B35">
        <w:t xml:space="preserve">, </w:t>
      </w:r>
      <w:r>
        <w:t>Westridge House</w:t>
      </w:r>
      <w:r w:rsidRPr="00C67B35">
        <w:t xml:space="preserve"> was leased by the Commonwealth Scientific and Industrial Research Organisation (CSIRO) and was managed by the Department of Finance and Deregulation (Finance). </w:t>
      </w:r>
    </w:p>
    <w:p w:rsidR="008F24B6" w:rsidRDefault="008F24B6" w:rsidP="008F24B6">
      <w:r>
        <w:t xml:space="preserve">The property has been vacant since early 2009. CSIRO identified that the property was no longer required for their operations, and Finance subsequently identified Westridge House as </w:t>
      </w:r>
      <w:r w:rsidR="00417862">
        <w:t xml:space="preserve">surplus Commonwealth property. </w:t>
      </w:r>
    </w:p>
    <w:p w:rsidR="008F24B6" w:rsidRDefault="008F24B6" w:rsidP="008F24B6">
      <w:r>
        <w:t>In July 2009, Finance requested that the NCA prepare an amendment to the Plan to change the land use policy of the site from ‘Community Facility’ to ‘Residential’. The NCA agreed to prepare an amendment to permit single residential only.</w:t>
      </w:r>
    </w:p>
    <w:p w:rsidR="008F24B6" w:rsidRPr="00C04422" w:rsidRDefault="008F24B6" w:rsidP="008F24B6">
      <w:r w:rsidRPr="00C04422">
        <w:t>In December 2010</w:t>
      </w:r>
      <w:r>
        <w:t>,</w:t>
      </w:r>
      <w:r w:rsidRPr="00C04422">
        <w:t xml:space="preserve"> Westridge House was </w:t>
      </w:r>
      <w:r>
        <w:t>purchased by a private investor. Solicitors acting on behalf of the investor advised the NCA that the purchaser has</w:t>
      </w:r>
      <w:r w:rsidRPr="00C04422">
        <w:t xml:space="preserve"> </w:t>
      </w:r>
      <w:r>
        <w:t>the sole intention of occupying the property</w:t>
      </w:r>
      <w:r w:rsidRPr="00C04422">
        <w:t xml:space="preserve"> as their residence.</w:t>
      </w:r>
      <w:r>
        <w:t xml:space="preserve"> </w:t>
      </w:r>
      <w:r w:rsidRPr="00C67B35">
        <w:t>The</w:t>
      </w:r>
      <w:r>
        <w:t xml:space="preserve"> solicitors on behalf of the</w:t>
      </w:r>
      <w:r w:rsidRPr="00C67B35">
        <w:t xml:space="preserve"> </w:t>
      </w:r>
      <w:r>
        <w:t>new owner</w:t>
      </w:r>
      <w:r w:rsidRPr="00C67B35">
        <w:t xml:space="preserve"> of </w:t>
      </w:r>
      <w:r>
        <w:t>the property</w:t>
      </w:r>
      <w:r w:rsidRPr="00C67B35">
        <w:t xml:space="preserve"> requested </w:t>
      </w:r>
      <w:r>
        <w:t>that the NCA proceed with the necessary</w:t>
      </w:r>
      <w:r w:rsidRPr="00C67B35">
        <w:t xml:space="preserve"> amendment to </w:t>
      </w:r>
      <w:r>
        <w:t>the Plan to allow Westridge House to be utilised as a private residence</w:t>
      </w:r>
      <w:r w:rsidRPr="00C67B35">
        <w:t>.</w:t>
      </w:r>
    </w:p>
    <w:p w:rsidR="008F24B6" w:rsidRPr="008F24B6" w:rsidRDefault="008F24B6" w:rsidP="008F24B6">
      <w:pPr>
        <w:pStyle w:val="Heading2"/>
      </w:pPr>
      <w:bookmarkStart w:id="1" w:name="_Toc310928359"/>
      <w:r>
        <w:t>1.2</w:t>
      </w:r>
      <w:r>
        <w:tab/>
        <w:t>Existing National Capital Plan provisions</w:t>
      </w:r>
      <w:bookmarkEnd w:id="1"/>
    </w:p>
    <w:p w:rsidR="008F24B6" w:rsidRDefault="008F24B6" w:rsidP="008F24B6">
      <w:r w:rsidRPr="008B4EB4">
        <w:t xml:space="preserve">Block </w:t>
      </w:r>
      <w:r>
        <w:t>6 Section 4</w:t>
      </w:r>
      <w:r w:rsidRPr="008B4EB4">
        <w:t xml:space="preserve"> </w:t>
      </w:r>
      <w:r>
        <w:t>Yarralumla currently</w:t>
      </w:r>
      <w:r w:rsidRPr="008B4EB4">
        <w:t xml:space="preserve"> has a land use policy of </w:t>
      </w:r>
      <w:r>
        <w:t>‘Community Facility’</w:t>
      </w:r>
      <w:r w:rsidRPr="008B4EB4">
        <w:t xml:space="preserve"> </w:t>
      </w:r>
      <w:r>
        <w:t xml:space="preserve">as identified in Figure 17 </w:t>
      </w:r>
      <w:r w:rsidRPr="00F27029">
        <w:t xml:space="preserve">The Central National Area (Lake Burley Griffin and Foreshores) </w:t>
      </w:r>
      <w:r>
        <w:t>of</w:t>
      </w:r>
      <w:r w:rsidRPr="008B4EB4">
        <w:t xml:space="preserve"> the Plan. </w:t>
      </w:r>
      <w:r>
        <w:t>‘Community Facility’ encompasses a range of uses including educational establishment, church use, scientific research establishment and social/community facility. Each of these uses is fu</w:t>
      </w:r>
      <w:r w:rsidR="00417862">
        <w:t xml:space="preserve">rther defined within the Plan. </w:t>
      </w:r>
    </w:p>
    <w:p w:rsidR="008F24B6" w:rsidRDefault="008F24B6" w:rsidP="008F24B6">
      <w:r>
        <w:t>The current provisions of the Plan do not allow for the site to be used as a private residence. An a</w:t>
      </w:r>
      <w:r w:rsidRPr="008B4EB4">
        <w:t xml:space="preserve">mendment to the Plan is required to enable </w:t>
      </w:r>
      <w:r>
        <w:t xml:space="preserve">Westridge House to be used for this purpose. </w:t>
      </w:r>
    </w:p>
    <w:p w:rsidR="008F24B6" w:rsidRDefault="008F24B6" w:rsidP="008F24B6">
      <w:pPr>
        <w:pStyle w:val="Heading2"/>
        <w:numPr>
          <w:ilvl w:val="1"/>
          <w:numId w:val="1"/>
        </w:numPr>
      </w:pPr>
      <w:bookmarkStart w:id="2" w:name="_Toc310928360"/>
      <w:r>
        <w:t>Effect of the draft Amendment to the National Capital Plan</w:t>
      </w:r>
      <w:bookmarkEnd w:id="2"/>
    </w:p>
    <w:p w:rsidR="008F24B6" w:rsidRDefault="008F24B6" w:rsidP="008F24B6">
      <w:r>
        <w:t>A change in land use policy from ‘Community Facility’ to ‘Single Dwelling Housing’ will allow for Westridge House to be used as a private residence.</w:t>
      </w:r>
    </w:p>
    <w:p w:rsidR="008F24B6" w:rsidRDefault="008F24B6" w:rsidP="008F24B6">
      <w:r>
        <w:t>The Plan does not currently have a land use definition relating to single residential use. The existing definition of ‘Residential’ permits all forms of residential, including (but not limited to) multiple dwelling units. It is proposed that a new land use definition of ‘Single Dwelling Housing’ be adopted into the Plan as follows:</w:t>
      </w:r>
    </w:p>
    <w:p w:rsidR="008F24B6" w:rsidRPr="00152D04" w:rsidRDefault="008F24B6" w:rsidP="008F24B6">
      <w:pPr>
        <w:rPr>
          <w:b/>
        </w:rPr>
      </w:pPr>
      <w:r>
        <w:rPr>
          <w:b/>
          <w:i/>
        </w:rPr>
        <w:lastRenderedPageBreak/>
        <w:t xml:space="preserve">Single dwelling housing – </w:t>
      </w:r>
      <w:r>
        <w:rPr>
          <w:b/>
        </w:rPr>
        <w:t>means the use of land for residential purp</w:t>
      </w:r>
      <w:r w:rsidR="00417862">
        <w:rPr>
          <w:b/>
        </w:rPr>
        <w:t>ose for a single dwelling only.</w:t>
      </w:r>
    </w:p>
    <w:p w:rsidR="008F24B6" w:rsidRDefault="008F24B6" w:rsidP="008F24B6">
      <w:r>
        <w:t xml:space="preserve">The proposed land use definition is consistent with the Territory Government’s planning definition. </w:t>
      </w:r>
    </w:p>
    <w:p w:rsidR="008F24B6" w:rsidRDefault="008F24B6" w:rsidP="008F24B6">
      <w:pPr>
        <w:pStyle w:val="Heading1"/>
        <w:numPr>
          <w:ilvl w:val="0"/>
          <w:numId w:val="1"/>
        </w:numPr>
      </w:pPr>
      <w:bookmarkStart w:id="3" w:name="_Toc310928361"/>
      <w:r>
        <w:t>Consultation</w:t>
      </w:r>
      <w:bookmarkEnd w:id="3"/>
    </w:p>
    <w:p w:rsidR="008F24B6" w:rsidRDefault="008F24B6" w:rsidP="00417862">
      <w:r w:rsidRPr="00084869">
        <w:t xml:space="preserve">The NCA released </w:t>
      </w:r>
      <w:r>
        <w:t xml:space="preserve">DA73 for public comment on Saturday 12 March 2011. A notice was published in </w:t>
      </w:r>
      <w:r>
        <w:rPr>
          <w:i/>
        </w:rPr>
        <w:t>T</w:t>
      </w:r>
      <w:r w:rsidRPr="00F27029">
        <w:rPr>
          <w:i/>
        </w:rPr>
        <w:t>he</w:t>
      </w:r>
      <w:r>
        <w:t xml:space="preserve"> </w:t>
      </w:r>
      <w:smartTag w:uri="urn:schemas-microsoft-com:office:smarttags" w:element="City">
        <w:r>
          <w:rPr>
            <w:i/>
          </w:rPr>
          <w:t>Canberra</w:t>
        </w:r>
      </w:smartTag>
      <w:r>
        <w:rPr>
          <w:i/>
        </w:rPr>
        <w:t xml:space="preserve"> Times (</w:t>
      </w:r>
      <w:r w:rsidRPr="00417862">
        <w:rPr>
          <w:i/>
        </w:rPr>
        <w:t>Attachment 1</w:t>
      </w:r>
      <w:r>
        <w:rPr>
          <w:i/>
        </w:rPr>
        <w:t xml:space="preserve">) </w:t>
      </w:r>
      <w:r>
        <w:t xml:space="preserve">and </w:t>
      </w:r>
      <w:r>
        <w:rPr>
          <w:i/>
        </w:rPr>
        <w:t>The Australian (</w:t>
      </w:r>
      <w:r w:rsidRPr="00F27029">
        <w:t>Attachment 2</w:t>
      </w:r>
      <w:r>
        <w:rPr>
          <w:i/>
        </w:rPr>
        <w:t xml:space="preserve">) </w:t>
      </w:r>
      <w:r>
        <w:t xml:space="preserve">on the same day and in the </w:t>
      </w:r>
      <w:smartTag w:uri="urn:schemas-microsoft-com:office:smarttags" w:element="place">
        <w:smartTag w:uri="urn:schemas-microsoft-com:office:smarttags" w:element="PlaceType">
          <w:r>
            <w:rPr>
              <w:i/>
            </w:rPr>
            <w:t>Commonwealth</w:t>
          </w:r>
        </w:smartTag>
        <w:r>
          <w:rPr>
            <w:i/>
          </w:rPr>
          <w:t xml:space="preserve"> of </w:t>
        </w:r>
        <w:smartTag w:uri="urn:schemas-microsoft-com:office:smarttags" w:element="PlaceName">
          <w:r>
            <w:rPr>
              <w:i/>
            </w:rPr>
            <w:t>Australia Gazette</w:t>
          </w:r>
        </w:smartTag>
      </w:smartTag>
      <w:r>
        <w:t xml:space="preserve"> on Wednesday 16 March 2011 </w:t>
      </w:r>
      <w:r>
        <w:rPr>
          <w:i/>
        </w:rPr>
        <w:t>(</w:t>
      </w:r>
      <w:r w:rsidRPr="00417862">
        <w:rPr>
          <w:i/>
        </w:rPr>
        <w:t>Attachment 3</w:t>
      </w:r>
      <w:r>
        <w:rPr>
          <w:i/>
        </w:rPr>
        <w:t xml:space="preserve">). </w:t>
      </w:r>
    </w:p>
    <w:p w:rsidR="008F24B6" w:rsidRDefault="008F24B6" w:rsidP="00417862">
      <w:r>
        <w:t xml:space="preserve">In accordance with the NCA’s </w:t>
      </w:r>
      <w:r w:rsidRPr="00F27029">
        <w:rPr>
          <w:i/>
        </w:rPr>
        <w:t>Commitment to Community Engagement 2010</w:t>
      </w:r>
      <w:r>
        <w:t xml:space="preserve"> the period for public comment ran for 30 business days and concluded on 27 April 2011. Hard copies of DA73 were made available to the public at the National Capital Exhibition, as well as the NCA offices. The consultation process made use of online technology, through the NCA’s </w:t>
      </w:r>
      <w:r>
        <w:rPr>
          <w:i/>
        </w:rPr>
        <w:t>Have Your Say</w:t>
      </w:r>
      <w:r>
        <w:t xml:space="preserve"> website, where the public could submit comments related to the draft amendment an</w:t>
      </w:r>
      <w:r w:rsidR="00417862">
        <w:t xml:space="preserve">d engage in online discussion. </w:t>
      </w:r>
    </w:p>
    <w:p w:rsidR="008F24B6" w:rsidRDefault="008F24B6" w:rsidP="00417862">
      <w:r>
        <w:t>Key activities during the consultation period of DA73 included:</w:t>
      </w:r>
    </w:p>
    <w:p w:rsidR="008F24B6" w:rsidRDefault="008F24B6" w:rsidP="00417862">
      <w:pPr>
        <w:numPr>
          <w:ilvl w:val="0"/>
          <w:numId w:val="7"/>
        </w:numPr>
      </w:pPr>
      <w:r>
        <w:t xml:space="preserve">On 4 March 2011, a request for an exemption to undertake a Regulation Impact Statement (RIS) was sought from the Office of Best Practice Regulation (OBPR). </w:t>
      </w:r>
    </w:p>
    <w:p w:rsidR="00AF2704" w:rsidRDefault="008F24B6" w:rsidP="00417862">
      <w:pPr>
        <w:numPr>
          <w:ilvl w:val="0"/>
          <w:numId w:val="7"/>
        </w:numPr>
      </w:pPr>
      <w:r>
        <w:t>On 15 March 2011, the NCA referred DA73 to the following stakeholders:</w:t>
      </w:r>
    </w:p>
    <w:p w:rsidR="00417862" w:rsidRPr="00571D9D" w:rsidRDefault="00417862" w:rsidP="00417862">
      <w:pPr>
        <w:numPr>
          <w:ilvl w:val="1"/>
          <w:numId w:val="7"/>
        </w:numPr>
      </w:pPr>
      <w:r w:rsidRPr="00571D9D">
        <w:t>ACT Planning and Land Authority (ACTPLA);</w:t>
      </w:r>
    </w:p>
    <w:p w:rsidR="00417862" w:rsidRPr="00571D9D" w:rsidRDefault="00417862" w:rsidP="00417862">
      <w:pPr>
        <w:numPr>
          <w:ilvl w:val="1"/>
          <w:numId w:val="7"/>
        </w:numPr>
      </w:pPr>
      <w:smartTag w:uri="urn:schemas-microsoft-com:office:smarttags" w:element="PlaceName">
        <w:smartTag w:uri="urn:schemas-microsoft-com:office:smarttags" w:element="place">
          <w:r w:rsidRPr="00571D9D">
            <w:t>ACT</w:t>
          </w:r>
        </w:smartTag>
        <w:r w:rsidRPr="00571D9D">
          <w:t xml:space="preserve"> </w:t>
        </w:r>
        <w:smartTag w:uri="urn:schemas-microsoft-com:office:smarttags" w:element="PlaceType">
          <w:r w:rsidRPr="00571D9D">
            <w:t>Territory</w:t>
          </w:r>
        </w:smartTag>
      </w:smartTag>
      <w:r w:rsidRPr="00571D9D">
        <w:t xml:space="preserve"> and Municipal Services (TaMS);</w:t>
      </w:r>
    </w:p>
    <w:p w:rsidR="00417862" w:rsidRPr="00571D9D" w:rsidRDefault="00417862" w:rsidP="00417862">
      <w:pPr>
        <w:numPr>
          <w:ilvl w:val="1"/>
          <w:numId w:val="7"/>
        </w:numPr>
      </w:pPr>
      <w:r w:rsidRPr="00571D9D">
        <w:t>Department of Sustainability, Environment, Water, Population &amp; Communities (SEWPaC);</w:t>
      </w:r>
    </w:p>
    <w:p w:rsidR="00417862" w:rsidRPr="00571D9D" w:rsidRDefault="00417862" w:rsidP="00417862">
      <w:pPr>
        <w:numPr>
          <w:ilvl w:val="1"/>
          <w:numId w:val="7"/>
        </w:numPr>
      </w:pPr>
      <w:r w:rsidRPr="00571D9D">
        <w:t xml:space="preserve">National Trust of </w:t>
      </w:r>
      <w:smartTag w:uri="urn:schemas-microsoft-com:office:smarttags" w:element="country-region">
        <w:smartTag w:uri="urn:schemas-microsoft-com:office:smarttags" w:element="place">
          <w:r w:rsidRPr="00571D9D">
            <w:t>Australia</w:t>
          </w:r>
        </w:smartTag>
      </w:smartTag>
      <w:r w:rsidRPr="00571D9D">
        <w:t xml:space="preserve"> (ACT);</w:t>
      </w:r>
    </w:p>
    <w:p w:rsidR="00417862" w:rsidRPr="00571D9D" w:rsidRDefault="00417862" w:rsidP="00417862">
      <w:pPr>
        <w:numPr>
          <w:ilvl w:val="1"/>
          <w:numId w:val="7"/>
        </w:numPr>
      </w:pPr>
      <w:r>
        <w:t xml:space="preserve">ACT </w:t>
      </w:r>
      <w:r w:rsidRPr="00571D9D">
        <w:t>Chief Minister</w:t>
      </w:r>
      <w:r>
        <w:t>’</w:t>
      </w:r>
      <w:r w:rsidRPr="00571D9D">
        <w:t>s Department;</w:t>
      </w:r>
    </w:p>
    <w:p w:rsidR="00417862" w:rsidRPr="00571D9D" w:rsidRDefault="00417862" w:rsidP="00417862">
      <w:pPr>
        <w:numPr>
          <w:ilvl w:val="1"/>
          <w:numId w:val="7"/>
        </w:numPr>
      </w:pPr>
      <w:r w:rsidRPr="00571D9D">
        <w:t xml:space="preserve">Walter Burley </w:t>
      </w:r>
      <w:smartTag w:uri="urn:schemas-microsoft-com:office:smarttags" w:element="City">
        <w:smartTag w:uri="urn:schemas-microsoft-com:office:smarttags" w:element="place">
          <w:r w:rsidRPr="00571D9D">
            <w:t>Griffin</w:t>
          </w:r>
        </w:smartTag>
      </w:smartTag>
      <w:r w:rsidRPr="00571D9D">
        <w:t xml:space="preserve"> Society;</w:t>
      </w:r>
    </w:p>
    <w:p w:rsidR="00417862" w:rsidRPr="00571D9D" w:rsidRDefault="00417862" w:rsidP="00417862">
      <w:pPr>
        <w:numPr>
          <w:ilvl w:val="1"/>
          <w:numId w:val="7"/>
        </w:numPr>
      </w:pPr>
      <w:r w:rsidRPr="00571D9D">
        <w:t>ACT Heritage Council;</w:t>
      </w:r>
    </w:p>
    <w:p w:rsidR="00417862" w:rsidRPr="00571D9D" w:rsidRDefault="00417862" w:rsidP="00417862">
      <w:pPr>
        <w:numPr>
          <w:ilvl w:val="1"/>
          <w:numId w:val="7"/>
        </w:numPr>
      </w:pPr>
      <w:r>
        <w:rPr>
          <w:bCs/>
        </w:rPr>
        <w:t>CSIRO</w:t>
      </w:r>
      <w:r w:rsidRPr="00571D9D">
        <w:rPr>
          <w:bCs/>
        </w:rPr>
        <w:t>;</w:t>
      </w:r>
    </w:p>
    <w:p w:rsidR="00417862" w:rsidRPr="00571D9D" w:rsidRDefault="00417862" w:rsidP="00417862">
      <w:pPr>
        <w:numPr>
          <w:ilvl w:val="1"/>
          <w:numId w:val="7"/>
        </w:numPr>
      </w:pPr>
      <w:r w:rsidRPr="00571D9D">
        <w:rPr>
          <w:bCs/>
        </w:rPr>
        <w:t>Yarralumla Residents</w:t>
      </w:r>
      <w:r>
        <w:rPr>
          <w:bCs/>
        </w:rPr>
        <w:t>’</w:t>
      </w:r>
      <w:r w:rsidRPr="00571D9D">
        <w:rPr>
          <w:bCs/>
        </w:rPr>
        <w:t xml:space="preserve"> Association; and</w:t>
      </w:r>
    </w:p>
    <w:p w:rsidR="008F24B6" w:rsidRPr="00571D9D" w:rsidRDefault="00417862" w:rsidP="00417862">
      <w:pPr>
        <w:numPr>
          <w:ilvl w:val="1"/>
          <w:numId w:val="7"/>
        </w:numPr>
      </w:pPr>
      <w:r w:rsidRPr="00571D9D">
        <w:rPr>
          <w:bCs/>
        </w:rPr>
        <w:t xml:space="preserve">Eakin McCaffery Cox, on behalf of the owner. </w:t>
      </w:r>
    </w:p>
    <w:p w:rsidR="008F24B6" w:rsidRDefault="008F24B6" w:rsidP="00417862">
      <w:pPr>
        <w:numPr>
          <w:ilvl w:val="0"/>
          <w:numId w:val="7"/>
        </w:numPr>
      </w:pPr>
      <w:r>
        <w:t>On 23 March 2011, the OBPR advised no RIS would be required for DA73.</w:t>
      </w:r>
    </w:p>
    <w:p w:rsidR="008F24B6" w:rsidRDefault="008F24B6" w:rsidP="00417862">
      <w:pPr>
        <w:numPr>
          <w:ilvl w:val="0"/>
          <w:numId w:val="7"/>
        </w:numPr>
      </w:pPr>
      <w:r>
        <w:t xml:space="preserve">On 22 March 2011, the NCA held a public information session between 5:30pm and 7:00pm at the NCA offices. Two NCA members were in attendance as well as three members of the public. </w:t>
      </w:r>
    </w:p>
    <w:p w:rsidR="008F24B6" w:rsidRDefault="008F24B6" w:rsidP="00417862">
      <w:pPr>
        <w:numPr>
          <w:ilvl w:val="0"/>
          <w:numId w:val="7"/>
        </w:numPr>
      </w:pPr>
      <w:r>
        <w:t xml:space="preserve">On 28 April 2011, the ACT Planning and Land Authority agreed to the proposed amendment as required under the PALM Act. </w:t>
      </w:r>
    </w:p>
    <w:p w:rsidR="008F24B6" w:rsidRPr="008F24B6" w:rsidRDefault="00417862" w:rsidP="00417862">
      <w:pPr>
        <w:pStyle w:val="Heading1"/>
      </w:pPr>
      <w:bookmarkStart w:id="4" w:name="_Toc310928362"/>
      <w:r>
        <w:t>3</w:t>
      </w:r>
      <w:r>
        <w:tab/>
        <w:t>Consultation</w:t>
      </w:r>
      <w:bookmarkEnd w:id="4"/>
    </w:p>
    <w:p w:rsidR="00417862" w:rsidRDefault="00417862" w:rsidP="00417862">
      <w:pPr>
        <w:autoSpaceDE w:val="0"/>
        <w:autoSpaceDN w:val="0"/>
        <w:adjustRightInd w:val="0"/>
        <w:rPr>
          <w:color w:val="000000"/>
        </w:rPr>
      </w:pPr>
      <w:r w:rsidRPr="003B0A88">
        <w:rPr>
          <w:color w:val="000000"/>
        </w:rPr>
        <w:t>The NCA received</w:t>
      </w:r>
      <w:r>
        <w:rPr>
          <w:color w:val="000000"/>
        </w:rPr>
        <w:t xml:space="preserve"> seven</w:t>
      </w:r>
      <w:r w:rsidRPr="003B0A88">
        <w:rPr>
          <w:color w:val="000000"/>
        </w:rPr>
        <w:t xml:space="preserve"> written submissions in response to</w:t>
      </w:r>
      <w:r>
        <w:rPr>
          <w:color w:val="000000"/>
        </w:rPr>
        <w:t xml:space="preserve"> DA73</w:t>
      </w:r>
      <w:r w:rsidRPr="003B0A88">
        <w:rPr>
          <w:color w:val="000000"/>
        </w:rPr>
        <w:t>.  All submissions were acknowledged by the NCA, together with an undertaking to inform the submitter</w:t>
      </w:r>
      <w:r>
        <w:rPr>
          <w:color w:val="000000"/>
        </w:rPr>
        <w:t>s</w:t>
      </w:r>
      <w:r w:rsidRPr="003B0A88">
        <w:rPr>
          <w:color w:val="000000"/>
        </w:rPr>
        <w:t xml:space="preserve"> of how </w:t>
      </w:r>
      <w:r>
        <w:rPr>
          <w:color w:val="000000"/>
        </w:rPr>
        <w:t xml:space="preserve">the NCA considered </w:t>
      </w:r>
      <w:r w:rsidRPr="003B0A88">
        <w:rPr>
          <w:color w:val="000000"/>
        </w:rPr>
        <w:t>their submission</w:t>
      </w:r>
      <w:r>
        <w:rPr>
          <w:color w:val="000000"/>
        </w:rPr>
        <w:t>s.</w:t>
      </w:r>
    </w:p>
    <w:p w:rsidR="00417862" w:rsidRDefault="00417862" w:rsidP="00417862">
      <w:pPr>
        <w:autoSpaceDE w:val="0"/>
        <w:autoSpaceDN w:val="0"/>
        <w:adjustRightInd w:val="0"/>
        <w:rPr>
          <w:color w:val="000000"/>
        </w:rPr>
      </w:pPr>
      <w:r>
        <w:rPr>
          <w:color w:val="000000"/>
        </w:rPr>
        <w:lastRenderedPageBreak/>
        <w:t xml:space="preserve">Of the seven written submissions received, three directly supported the draft amendment and its desired outcomes whilst four raised concern over certain issues. </w:t>
      </w:r>
    </w:p>
    <w:p w:rsidR="00417862" w:rsidRPr="00417862" w:rsidRDefault="00417862" w:rsidP="00417862">
      <w:pPr>
        <w:autoSpaceDE w:val="0"/>
        <w:autoSpaceDN w:val="0"/>
        <w:adjustRightInd w:val="0"/>
        <w:rPr>
          <w:color w:val="000000"/>
        </w:rPr>
      </w:pPr>
      <w:r>
        <w:rPr>
          <w:color w:val="000000"/>
        </w:rPr>
        <w:t xml:space="preserve">A summary of the key issues raised during the public consultation process and the NCA’s response is outlined below. A summary of each submission is included in </w:t>
      </w:r>
      <w:r w:rsidRPr="00417862">
        <w:rPr>
          <w:i/>
          <w:color w:val="000000"/>
        </w:rPr>
        <w:t>Attachment 4</w:t>
      </w:r>
      <w:r>
        <w:rPr>
          <w:color w:val="000000"/>
        </w:rPr>
        <w:t>, together with a detailed NCA response</w:t>
      </w:r>
      <w:r w:rsidRPr="00524199">
        <w:rPr>
          <w:b/>
          <w:i/>
          <w:color w:val="000000"/>
        </w:rPr>
        <w:t>.</w:t>
      </w:r>
      <w:r>
        <w:rPr>
          <w:color w:val="000000"/>
        </w:rPr>
        <w:t xml:space="preserve"> Four written comments</w:t>
      </w:r>
      <w:r w:rsidRPr="0064757F">
        <w:rPr>
          <w:color w:val="000000"/>
        </w:rPr>
        <w:t xml:space="preserve"> were</w:t>
      </w:r>
      <w:r>
        <w:rPr>
          <w:color w:val="000000"/>
        </w:rPr>
        <w:t xml:space="preserve"> also</w:t>
      </w:r>
      <w:r w:rsidRPr="0064757F">
        <w:rPr>
          <w:color w:val="000000"/>
        </w:rPr>
        <w:t xml:space="preserve"> received via the </w:t>
      </w:r>
      <w:r w:rsidRPr="0064757F">
        <w:rPr>
          <w:i/>
          <w:color w:val="000000"/>
        </w:rPr>
        <w:t xml:space="preserve">Have Your Say </w:t>
      </w:r>
      <w:r w:rsidRPr="0064757F">
        <w:rPr>
          <w:color w:val="000000"/>
        </w:rPr>
        <w:t>website</w:t>
      </w:r>
      <w:r>
        <w:rPr>
          <w:color w:val="000000"/>
        </w:rPr>
        <w:t>.</w:t>
      </w:r>
    </w:p>
    <w:p w:rsidR="00417862" w:rsidRPr="003B0A88" w:rsidRDefault="00417862" w:rsidP="00417862">
      <w:pPr>
        <w:autoSpaceDE w:val="0"/>
        <w:autoSpaceDN w:val="0"/>
        <w:adjustRightInd w:val="0"/>
        <w:rPr>
          <w:color w:val="000000"/>
        </w:rPr>
      </w:pPr>
      <w:r w:rsidRPr="003B0A88">
        <w:rPr>
          <w:color w:val="000000"/>
        </w:rPr>
        <w:t>The key issues raised in the period of public consultation included:</w:t>
      </w:r>
    </w:p>
    <w:p w:rsidR="00417862" w:rsidRDefault="00417862" w:rsidP="00417862">
      <w:pPr>
        <w:pStyle w:val="Heading2"/>
      </w:pPr>
      <w:bookmarkStart w:id="5" w:name="_Toc310928363"/>
      <w:r>
        <w:t>3.1</w:t>
      </w:r>
      <w:r>
        <w:tab/>
      </w:r>
      <w:smartTag w:uri="urn:schemas-microsoft-com:office:smarttags" w:element="place">
        <w:smartTag w:uri="urn:schemas-microsoft-com:office:smarttags" w:element="City">
          <w:r>
            <w:t>Sale</w:t>
          </w:r>
        </w:smartTag>
      </w:smartTag>
      <w:r>
        <w:t xml:space="preserve"> of the property</w:t>
      </w:r>
      <w:bookmarkEnd w:id="5"/>
    </w:p>
    <w:p w:rsidR="00417862" w:rsidRDefault="00417862" w:rsidP="00417862">
      <w:pPr>
        <w:autoSpaceDE w:val="0"/>
        <w:autoSpaceDN w:val="0"/>
        <w:adjustRightInd w:val="0"/>
        <w:rPr>
          <w:color w:val="000000"/>
        </w:rPr>
      </w:pPr>
      <w:r>
        <w:rPr>
          <w:color w:val="000000"/>
        </w:rPr>
        <w:t xml:space="preserve">Submissions received expressed concern with, and requested clarification regarding, the proceedings of the sale of Westridge House. In particular, concern was raised that the NCA perspective of future land use for the site was not made clear at the point of sale. </w:t>
      </w:r>
    </w:p>
    <w:p w:rsidR="00417862" w:rsidRDefault="00417862" w:rsidP="00417862">
      <w:pPr>
        <w:autoSpaceDE w:val="0"/>
        <w:autoSpaceDN w:val="0"/>
        <w:adjustRightInd w:val="0"/>
        <w:rPr>
          <w:i/>
          <w:color w:val="000000"/>
        </w:rPr>
      </w:pPr>
      <w:r>
        <w:rPr>
          <w:i/>
          <w:color w:val="000000"/>
        </w:rPr>
        <w:t>NCA Response</w:t>
      </w:r>
    </w:p>
    <w:p w:rsidR="00417862" w:rsidRDefault="00417862" w:rsidP="00417862">
      <w:pPr>
        <w:autoSpaceDE w:val="0"/>
        <w:autoSpaceDN w:val="0"/>
        <w:adjustRightInd w:val="0"/>
        <w:rPr>
          <w:lang w:val="en-GB"/>
        </w:rPr>
      </w:pPr>
      <w:r>
        <w:rPr>
          <w:lang w:val="en-GB"/>
        </w:rPr>
        <w:t>T</w:t>
      </w:r>
      <w:r w:rsidRPr="00D445A5">
        <w:rPr>
          <w:lang w:val="en-GB"/>
        </w:rPr>
        <w:t>he view of the NCA in relation to future use of Westridge House was disclosed to all potential bidders before the auction occurred. This occurred by way of an official statement from the NCA which was included i</w:t>
      </w:r>
      <w:r>
        <w:rPr>
          <w:lang w:val="en-GB"/>
        </w:rPr>
        <w:t>n all pre-sale documentation.</w:t>
      </w:r>
    </w:p>
    <w:p w:rsidR="00417862" w:rsidRPr="00A961E9" w:rsidRDefault="00417862" w:rsidP="00417862">
      <w:pPr>
        <w:autoSpaceDE w:val="0"/>
        <w:autoSpaceDN w:val="0"/>
        <w:adjustRightInd w:val="0"/>
        <w:rPr>
          <w:i/>
          <w:color w:val="000000"/>
        </w:rPr>
      </w:pPr>
      <w:r w:rsidRPr="00D445A5">
        <w:rPr>
          <w:lang w:val="en-GB"/>
        </w:rPr>
        <w:t xml:space="preserve">The board of the NCA considered its position on the future use of Westridge House as </w:t>
      </w:r>
      <w:r>
        <w:rPr>
          <w:lang w:val="en-GB"/>
        </w:rPr>
        <w:t>soon as the NCA was</w:t>
      </w:r>
      <w:r w:rsidRPr="00D445A5">
        <w:rPr>
          <w:lang w:val="en-GB"/>
        </w:rPr>
        <w:t xml:space="preserve"> advised that the </w:t>
      </w:r>
      <w:r>
        <w:rPr>
          <w:lang w:val="en-GB"/>
        </w:rPr>
        <w:t>Australian Government</w:t>
      </w:r>
      <w:r w:rsidRPr="00D445A5">
        <w:rPr>
          <w:lang w:val="en-GB"/>
        </w:rPr>
        <w:t xml:space="preserve"> was likely to dispose of it. This </w:t>
      </w:r>
      <w:r>
        <w:rPr>
          <w:lang w:val="en-GB"/>
        </w:rPr>
        <w:t>occurred</w:t>
      </w:r>
      <w:r w:rsidRPr="00D445A5">
        <w:rPr>
          <w:lang w:val="en-GB"/>
        </w:rPr>
        <w:t xml:space="preserve"> in October 2009.</w:t>
      </w:r>
    </w:p>
    <w:p w:rsidR="00417862" w:rsidRDefault="00417862" w:rsidP="00417862">
      <w:pPr>
        <w:pStyle w:val="Heading2"/>
      </w:pPr>
      <w:bookmarkStart w:id="6" w:name="_Toc310928364"/>
      <w:r>
        <w:t>3.2</w:t>
      </w:r>
      <w:r>
        <w:tab/>
        <w:t>Heritage</w:t>
      </w:r>
      <w:bookmarkEnd w:id="6"/>
    </w:p>
    <w:p w:rsidR="00417862" w:rsidRDefault="00417862" w:rsidP="00417862">
      <w:pPr>
        <w:autoSpaceDE w:val="0"/>
        <w:autoSpaceDN w:val="0"/>
        <w:adjustRightInd w:val="0"/>
        <w:rPr>
          <w:color w:val="000000"/>
        </w:rPr>
      </w:pPr>
      <w:r>
        <w:rPr>
          <w:color w:val="000000"/>
        </w:rPr>
        <w:t xml:space="preserve">Submissions were received expressing concern over the potential impact on the heritage significance of the site. </w:t>
      </w:r>
    </w:p>
    <w:p w:rsidR="00417862" w:rsidRPr="00417862" w:rsidRDefault="00417862" w:rsidP="00417862">
      <w:pPr>
        <w:autoSpaceDE w:val="0"/>
        <w:autoSpaceDN w:val="0"/>
        <w:adjustRightInd w:val="0"/>
        <w:rPr>
          <w:i/>
          <w:color w:val="000000"/>
        </w:rPr>
      </w:pPr>
      <w:r>
        <w:rPr>
          <w:i/>
          <w:color w:val="000000"/>
        </w:rPr>
        <w:t>NCA Response</w:t>
      </w:r>
    </w:p>
    <w:p w:rsidR="00417862" w:rsidRPr="00D82A3F" w:rsidRDefault="00417862" w:rsidP="00417862">
      <w:pPr>
        <w:autoSpaceDE w:val="0"/>
        <w:autoSpaceDN w:val="0"/>
        <w:adjustRightInd w:val="0"/>
        <w:rPr>
          <w:color w:val="000000"/>
        </w:rPr>
      </w:pPr>
      <w:r w:rsidRPr="00D445A5">
        <w:rPr>
          <w:lang w:val="en-GB"/>
        </w:rPr>
        <w:t xml:space="preserve">The NCA formed the view that the most important thing was to maximise the heritage protection offered for Westridge House. In the NCA's opinion, the </w:t>
      </w:r>
      <w:r>
        <w:rPr>
          <w:lang w:val="en-GB"/>
        </w:rPr>
        <w:t>greatest</w:t>
      </w:r>
      <w:r w:rsidRPr="00D445A5">
        <w:rPr>
          <w:lang w:val="en-GB"/>
        </w:rPr>
        <w:t xml:space="preserve"> level of heritage protection would result from the block retaining </w:t>
      </w:r>
      <w:smartTag w:uri="urn:schemas-microsoft-com:office:smarttags" w:element="place">
        <w:smartTag w:uri="urn:schemas-microsoft-com:office:smarttags" w:element="PlaceName">
          <w:r w:rsidRPr="00D445A5">
            <w:rPr>
              <w:lang w:val="en-GB"/>
            </w:rPr>
            <w:t>National</w:t>
          </w:r>
        </w:smartTag>
        <w:r w:rsidRPr="00D445A5">
          <w:rPr>
            <w:lang w:val="en-GB"/>
          </w:rPr>
          <w:t xml:space="preserve"> </w:t>
        </w:r>
        <w:smartTag w:uri="urn:schemas-microsoft-com:office:smarttags" w:element="City">
          <w:r w:rsidRPr="00D445A5">
            <w:rPr>
              <w:lang w:val="en-GB"/>
            </w:rPr>
            <w:t>Land</w:t>
          </w:r>
        </w:smartTag>
      </w:smartTag>
      <w:r w:rsidRPr="00D445A5">
        <w:rPr>
          <w:lang w:val="en-GB"/>
        </w:rPr>
        <w:t xml:space="preserve"> status as this invokes full </w:t>
      </w:r>
      <w:r>
        <w:rPr>
          <w:i/>
          <w:lang w:val="en-GB"/>
        </w:rPr>
        <w:t xml:space="preserve">Environment Protection and Biodiversity Conservation Act 1999 </w:t>
      </w:r>
      <w:r w:rsidRPr="00D445A5">
        <w:rPr>
          <w:lang w:val="en-GB"/>
        </w:rPr>
        <w:t xml:space="preserve"> protection.</w:t>
      </w:r>
      <w:r>
        <w:rPr>
          <w:color w:val="000000"/>
        </w:rPr>
        <w:t xml:space="preserve"> </w:t>
      </w:r>
    </w:p>
    <w:p w:rsidR="00417862" w:rsidRDefault="00417862" w:rsidP="00417862">
      <w:pPr>
        <w:pStyle w:val="Heading2"/>
      </w:pPr>
      <w:bookmarkStart w:id="7" w:name="_Toc310928365"/>
      <w:r>
        <w:t>3.3</w:t>
      </w:r>
      <w:r>
        <w:tab/>
        <w:t>Public access</w:t>
      </w:r>
      <w:bookmarkEnd w:id="7"/>
    </w:p>
    <w:p w:rsidR="00417862" w:rsidRDefault="00417862" w:rsidP="00417862">
      <w:pPr>
        <w:autoSpaceDE w:val="0"/>
        <w:autoSpaceDN w:val="0"/>
        <w:adjustRightInd w:val="0"/>
        <w:rPr>
          <w:color w:val="000000"/>
        </w:rPr>
      </w:pPr>
      <w:r>
        <w:rPr>
          <w:color w:val="000000"/>
        </w:rPr>
        <w:t xml:space="preserve">A number of submissions suggested that Westridge House should be open to the public to allow appreciation of its historic significance. These submissions suggested that once or twice annually the house and gardens could be made publicly accessible to the community to encourage appreciation of </w:t>
      </w:r>
      <w:smartTag w:uri="urn:schemas-microsoft-com:office:smarttags" w:element="City">
        <w:r>
          <w:rPr>
            <w:color w:val="000000"/>
          </w:rPr>
          <w:t>Canberra</w:t>
        </w:r>
      </w:smartTag>
      <w:r>
        <w:rPr>
          <w:color w:val="000000"/>
        </w:rPr>
        <w:t>’s early architecture and design.</w:t>
      </w:r>
    </w:p>
    <w:p w:rsidR="00417862" w:rsidRPr="00417862" w:rsidRDefault="00417862" w:rsidP="00417862">
      <w:pPr>
        <w:autoSpaceDE w:val="0"/>
        <w:autoSpaceDN w:val="0"/>
        <w:adjustRightInd w:val="0"/>
        <w:rPr>
          <w:i/>
          <w:color w:val="000000"/>
        </w:rPr>
      </w:pPr>
      <w:r>
        <w:rPr>
          <w:i/>
          <w:color w:val="000000"/>
        </w:rPr>
        <w:t>NCA Response</w:t>
      </w:r>
    </w:p>
    <w:p w:rsidR="00417862" w:rsidRPr="00D15E14" w:rsidRDefault="00417862" w:rsidP="00417862">
      <w:pPr>
        <w:autoSpaceDE w:val="0"/>
        <w:autoSpaceDN w:val="0"/>
        <w:adjustRightInd w:val="0"/>
        <w:rPr>
          <w:color w:val="000000"/>
        </w:rPr>
      </w:pPr>
      <w:r>
        <w:rPr>
          <w:color w:val="000000"/>
        </w:rPr>
        <w:t xml:space="preserve">Opening the property for public viewing is at the discretion of the new owners. </w:t>
      </w:r>
    </w:p>
    <w:p w:rsidR="00417862" w:rsidRDefault="00417862" w:rsidP="00417862">
      <w:pPr>
        <w:pStyle w:val="Heading2"/>
      </w:pPr>
      <w:bookmarkStart w:id="8" w:name="_Toc310928366"/>
      <w:r>
        <w:t>3.4</w:t>
      </w:r>
      <w:r>
        <w:tab/>
        <w:t>Public notice</w:t>
      </w:r>
      <w:bookmarkEnd w:id="8"/>
    </w:p>
    <w:p w:rsidR="00417862" w:rsidRDefault="00417862" w:rsidP="00417862">
      <w:pPr>
        <w:autoSpaceDE w:val="0"/>
        <w:autoSpaceDN w:val="0"/>
        <w:adjustRightInd w:val="0"/>
        <w:rPr>
          <w:color w:val="000000"/>
        </w:rPr>
      </w:pPr>
      <w:r>
        <w:rPr>
          <w:color w:val="000000"/>
        </w:rPr>
        <w:t>A number of submissions suggested permanent signage should be erected on the property boundary detailing the history of the site and outlining the heritage significance of the home.</w:t>
      </w:r>
    </w:p>
    <w:p w:rsidR="00417862" w:rsidRPr="00417862" w:rsidRDefault="00417862" w:rsidP="00417862">
      <w:pPr>
        <w:autoSpaceDE w:val="0"/>
        <w:autoSpaceDN w:val="0"/>
        <w:adjustRightInd w:val="0"/>
        <w:rPr>
          <w:i/>
          <w:color w:val="000000"/>
        </w:rPr>
      </w:pPr>
      <w:r>
        <w:rPr>
          <w:i/>
          <w:color w:val="000000"/>
        </w:rPr>
        <w:t>NCA Response</w:t>
      </w:r>
    </w:p>
    <w:p w:rsidR="00417862" w:rsidRDefault="00417862" w:rsidP="00417862">
      <w:pPr>
        <w:autoSpaceDE w:val="0"/>
        <w:autoSpaceDN w:val="0"/>
        <w:adjustRightInd w:val="0"/>
        <w:rPr>
          <w:color w:val="000000"/>
        </w:rPr>
      </w:pPr>
      <w:r>
        <w:rPr>
          <w:color w:val="000000"/>
        </w:rPr>
        <w:t>The erection of interpretive signage is at the discretion of the new owners. Approvals for signage structures would need to be sought where necessary.</w:t>
      </w:r>
    </w:p>
    <w:p w:rsidR="00417862" w:rsidRDefault="00417862" w:rsidP="00417862">
      <w:pPr>
        <w:pStyle w:val="Heading2"/>
      </w:pPr>
      <w:bookmarkStart w:id="9" w:name="_Toc310928367"/>
      <w:r>
        <w:lastRenderedPageBreak/>
        <w:t>3.5</w:t>
      </w:r>
      <w:r>
        <w:tab/>
        <w:t>Fencing</w:t>
      </w:r>
      <w:bookmarkEnd w:id="9"/>
    </w:p>
    <w:p w:rsidR="00417862" w:rsidRDefault="00417862" w:rsidP="00417862">
      <w:pPr>
        <w:autoSpaceDE w:val="0"/>
        <w:autoSpaceDN w:val="0"/>
        <w:adjustRightInd w:val="0"/>
        <w:rPr>
          <w:color w:val="000000"/>
        </w:rPr>
      </w:pPr>
      <w:r>
        <w:rPr>
          <w:color w:val="000000"/>
        </w:rPr>
        <w:t>Concern was raised about the possibility of fencing being constructed around the property boundary. Submissions cited that many local residents presently use a section of the block as a passage-way that links walking tracks within the area. Fencing may restrict this current access.</w:t>
      </w:r>
    </w:p>
    <w:p w:rsidR="00417862" w:rsidRDefault="00417862" w:rsidP="00417862">
      <w:pPr>
        <w:autoSpaceDE w:val="0"/>
        <w:autoSpaceDN w:val="0"/>
        <w:adjustRightInd w:val="0"/>
        <w:rPr>
          <w:i/>
          <w:color w:val="000000"/>
        </w:rPr>
      </w:pPr>
      <w:r>
        <w:rPr>
          <w:i/>
          <w:color w:val="000000"/>
        </w:rPr>
        <w:t>NCA Response</w:t>
      </w:r>
    </w:p>
    <w:p w:rsidR="00417862" w:rsidRPr="00226D60" w:rsidRDefault="00417862" w:rsidP="00417862">
      <w:pPr>
        <w:autoSpaceDE w:val="0"/>
        <w:autoSpaceDN w:val="0"/>
        <w:adjustRightInd w:val="0"/>
        <w:rPr>
          <w:color w:val="000000"/>
        </w:rPr>
      </w:pPr>
      <w:r>
        <w:rPr>
          <w:color w:val="000000"/>
        </w:rPr>
        <w:t>The construction of a new fence is at the discretion of the new owner. Approval for fencing would need to be sought from the relevant authority.</w:t>
      </w:r>
    </w:p>
    <w:p w:rsidR="00417862" w:rsidRDefault="00417862" w:rsidP="00417862">
      <w:pPr>
        <w:pStyle w:val="Heading2"/>
      </w:pPr>
      <w:bookmarkStart w:id="10" w:name="_Toc310928368"/>
      <w:r>
        <w:t>3.6</w:t>
      </w:r>
      <w:r>
        <w:tab/>
        <w:t>Future rezoning</w:t>
      </w:r>
      <w:bookmarkEnd w:id="10"/>
    </w:p>
    <w:p w:rsidR="00417862" w:rsidRDefault="00417862" w:rsidP="00417862">
      <w:pPr>
        <w:autoSpaceDE w:val="0"/>
        <w:autoSpaceDN w:val="0"/>
        <w:adjustRightInd w:val="0"/>
        <w:rPr>
          <w:color w:val="000000"/>
        </w:rPr>
      </w:pPr>
      <w:r>
        <w:rPr>
          <w:color w:val="000000"/>
        </w:rPr>
        <w:t>One submission was received concerning the possibility that the land use policy for the site may be amended again in future years to allow the site to be subdivided into multiple residential blocks. It was considered that the use of the site for multiple dwellings would diminish the heritage significance of the site, and would allow for opportunistic development of the site.</w:t>
      </w:r>
    </w:p>
    <w:p w:rsidR="00417862" w:rsidRPr="00417862" w:rsidRDefault="00417862" w:rsidP="00417862">
      <w:pPr>
        <w:autoSpaceDE w:val="0"/>
        <w:autoSpaceDN w:val="0"/>
        <w:adjustRightInd w:val="0"/>
        <w:rPr>
          <w:i/>
          <w:color w:val="000000"/>
        </w:rPr>
      </w:pPr>
      <w:r>
        <w:rPr>
          <w:i/>
          <w:color w:val="000000"/>
        </w:rPr>
        <w:t xml:space="preserve">NCA Response </w:t>
      </w:r>
    </w:p>
    <w:p w:rsidR="00417862" w:rsidRDefault="00417862" w:rsidP="00417862">
      <w:pPr>
        <w:autoSpaceDE w:val="0"/>
        <w:autoSpaceDN w:val="0"/>
        <w:adjustRightInd w:val="0"/>
        <w:rPr>
          <w:color w:val="000000"/>
        </w:rPr>
      </w:pPr>
      <w:r w:rsidRPr="00D445A5">
        <w:rPr>
          <w:lang w:val="en-GB"/>
        </w:rPr>
        <w:t xml:space="preserve">The NCA agreed that it was willing to </w:t>
      </w:r>
      <w:r w:rsidRPr="00FF2770">
        <w:rPr>
          <w:iCs/>
          <w:lang w:val="en-GB"/>
        </w:rPr>
        <w:t>propose</w:t>
      </w:r>
      <w:r w:rsidRPr="00FF2770">
        <w:rPr>
          <w:lang w:val="en-GB"/>
        </w:rPr>
        <w:t xml:space="preserve"> </w:t>
      </w:r>
      <w:r w:rsidRPr="00D445A5">
        <w:rPr>
          <w:lang w:val="en-GB"/>
        </w:rPr>
        <w:t>an amendment to the Plan to allow single residential</w:t>
      </w:r>
      <w:r w:rsidRPr="00417862">
        <w:t xml:space="preserve"> only</w:t>
      </w:r>
      <w:r>
        <w:rPr>
          <w:lang w:val="en-GB"/>
        </w:rPr>
        <w:t xml:space="preserve"> </w:t>
      </w:r>
      <w:r w:rsidRPr="00D445A5">
        <w:rPr>
          <w:lang w:val="en-GB"/>
        </w:rPr>
        <w:t xml:space="preserve">as a permitted land use. </w:t>
      </w:r>
    </w:p>
    <w:p w:rsidR="00417862" w:rsidRDefault="00417862" w:rsidP="00417862">
      <w:pPr>
        <w:pStyle w:val="Heading2"/>
      </w:pPr>
      <w:bookmarkStart w:id="11" w:name="_Toc310928369"/>
      <w:r>
        <w:t>3.7</w:t>
      </w:r>
      <w:r>
        <w:tab/>
        <w:t>Notion of support</w:t>
      </w:r>
      <w:bookmarkEnd w:id="11"/>
    </w:p>
    <w:p w:rsidR="00417862" w:rsidRDefault="00417862" w:rsidP="00417862">
      <w:pPr>
        <w:autoSpaceDE w:val="0"/>
        <w:autoSpaceDN w:val="0"/>
        <w:adjustRightInd w:val="0"/>
        <w:rPr>
          <w:color w:val="000000"/>
        </w:rPr>
      </w:pPr>
      <w:r>
        <w:rPr>
          <w:color w:val="000000"/>
        </w:rPr>
        <w:t xml:space="preserve">Several submissions supported the draft amendment. The proposed land use policy change was perceived as a desirable outcome in terms of maintaining the physical appearance of Westridge House, and protecting the cultural and heritage importance of the site. </w:t>
      </w:r>
    </w:p>
    <w:p w:rsidR="00417862" w:rsidRDefault="00417862" w:rsidP="00417862">
      <w:pPr>
        <w:autoSpaceDE w:val="0"/>
        <w:autoSpaceDN w:val="0"/>
        <w:adjustRightInd w:val="0"/>
        <w:rPr>
          <w:i/>
          <w:color w:val="000000"/>
        </w:rPr>
      </w:pPr>
      <w:r>
        <w:rPr>
          <w:i/>
          <w:color w:val="000000"/>
        </w:rPr>
        <w:t>NCA Response</w:t>
      </w:r>
    </w:p>
    <w:p w:rsidR="00417862" w:rsidRPr="00FF2770" w:rsidRDefault="00417862" w:rsidP="00417862">
      <w:pPr>
        <w:autoSpaceDE w:val="0"/>
        <w:autoSpaceDN w:val="0"/>
        <w:adjustRightInd w:val="0"/>
        <w:rPr>
          <w:color w:val="000000"/>
        </w:rPr>
      </w:pPr>
      <w:r>
        <w:rPr>
          <w:color w:val="000000"/>
        </w:rPr>
        <w:t>Noted.</w:t>
      </w:r>
    </w:p>
    <w:p w:rsidR="00417862" w:rsidRDefault="00417862" w:rsidP="00417862">
      <w:pPr>
        <w:pStyle w:val="Heading1"/>
      </w:pPr>
      <w:bookmarkStart w:id="12" w:name="_Toc310928370"/>
      <w:r>
        <w:t>4</w:t>
      </w:r>
      <w:r>
        <w:tab/>
        <w:t>Recommended changes to draft Amendment 73</w:t>
      </w:r>
      <w:bookmarkEnd w:id="12"/>
    </w:p>
    <w:p w:rsidR="00417862" w:rsidRPr="0081187A" w:rsidRDefault="00417862" w:rsidP="00417862">
      <w:pPr>
        <w:rPr>
          <w:rFonts w:cs="Arial"/>
          <w:bCs/>
          <w:iCs/>
          <w:color w:val="000000"/>
        </w:rPr>
      </w:pPr>
      <w:r w:rsidRPr="0081187A">
        <w:rPr>
          <w:rFonts w:cs="Arial"/>
          <w:bCs/>
          <w:iCs/>
          <w:color w:val="000000"/>
        </w:rPr>
        <w:t xml:space="preserve">Following a review of the submissions received, the NCA </w:t>
      </w:r>
      <w:r>
        <w:rPr>
          <w:rFonts w:cs="Arial"/>
          <w:bCs/>
          <w:iCs/>
          <w:color w:val="000000"/>
        </w:rPr>
        <w:t>recommends</w:t>
      </w:r>
      <w:r w:rsidRPr="0081187A">
        <w:rPr>
          <w:rFonts w:cs="Arial"/>
          <w:bCs/>
          <w:iCs/>
          <w:color w:val="000000"/>
        </w:rPr>
        <w:t xml:space="preserve"> no changes to DA73 as released for public consultation on 12 March 2011. </w:t>
      </w:r>
    </w:p>
    <w:p w:rsidR="00417862" w:rsidRDefault="00417862" w:rsidP="00417862">
      <w:pPr>
        <w:pStyle w:val="Heading1"/>
      </w:pPr>
      <w:bookmarkStart w:id="13" w:name="_Toc310928371"/>
      <w:r>
        <w:t>5</w:t>
      </w:r>
      <w:r>
        <w:tab/>
        <w:t>Conclusion</w:t>
      </w:r>
      <w:bookmarkEnd w:id="13"/>
    </w:p>
    <w:p w:rsidR="00417862" w:rsidRPr="0081187A" w:rsidRDefault="00417862" w:rsidP="00417862">
      <w:pPr>
        <w:autoSpaceDE w:val="0"/>
        <w:autoSpaceDN w:val="0"/>
        <w:adjustRightInd w:val="0"/>
        <w:rPr>
          <w:color w:val="000000"/>
        </w:rPr>
      </w:pPr>
      <w:r w:rsidRPr="0081187A">
        <w:rPr>
          <w:color w:val="000000"/>
        </w:rPr>
        <w:t xml:space="preserve">The consultation process initiated by the NCA for DA73 attracted </w:t>
      </w:r>
      <w:r>
        <w:rPr>
          <w:color w:val="000000"/>
        </w:rPr>
        <w:t>three members of the public to</w:t>
      </w:r>
      <w:r w:rsidRPr="0081187A">
        <w:rPr>
          <w:color w:val="000000"/>
        </w:rPr>
        <w:t xml:space="preserve"> the</w:t>
      </w:r>
      <w:r>
        <w:rPr>
          <w:color w:val="000000"/>
        </w:rPr>
        <w:t xml:space="preserve"> public information session, seven</w:t>
      </w:r>
      <w:r w:rsidRPr="0081187A">
        <w:rPr>
          <w:color w:val="000000"/>
        </w:rPr>
        <w:t xml:space="preserve"> written submissions</w:t>
      </w:r>
      <w:r>
        <w:rPr>
          <w:color w:val="000000"/>
        </w:rPr>
        <w:t>, and four online comments</w:t>
      </w:r>
      <w:r w:rsidRPr="0081187A">
        <w:rPr>
          <w:color w:val="000000"/>
        </w:rPr>
        <w:t>.</w:t>
      </w:r>
      <w:r>
        <w:rPr>
          <w:color w:val="000000"/>
        </w:rPr>
        <w:t xml:space="preserve"> </w:t>
      </w:r>
    </w:p>
    <w:p w:rsidR="00417862" w:rsidRPr="0081187A" w:rsidRDefault="00417862" w:rsidP="00417862">
      <w:pPr>
        <w:autoSpaceDE w:val="0"/>
        <w:autoSpaceDN w:val="0"/>
        <w:adjustRightInd w:val="0"/>
        <w:rPr>
          <w:color w:val="000000"/>
        </w:rPr>
      </w:pPr>
      <w:r w:rsidRPr="0081187A">
        <w:rPr>
          <w:color w:val="000000"/>
        </w:rPr>
        <w:t>No changes have been recommended to DA73 as re</w:t>
      </w:r>
      <w:r>
        <w:rPr>
          <w:color w:val="000000"/>
        </w:rPr>
        <w:t>leased for public consultation.</w:t>
      </w:r>
    </w:p>
    <w:p w:rsidR="00417862" w:rsidRDefault="00417862" w:rsidP="00417862">
      <w:pPr>
        <w:autoSpaceDE w:val="0"/>
        <w:autoSpaceDN w:val="0"/>
        <w:adjustRightInd w:val="0"/>
      </w:pPr>
      <w:r w:rsidRPr="0081187A">
        <w:rPr>
          <w:color w:val="000000"/>
        </w:rPr>
        <w:t xml:space="preserve">The NCA recommends the Minister for Regional Australia, </w:t>
      </w:r>
      <w:r w:rsidRPr="0081187A">
        <w:t xml:space="preserve">Regional Development and </w:t>
      </w:r>
      <w:r>
        <w:t>Local Government,</w:t>
      </w:r>
      <w:r w:rsidRPr="0081187A">
        <w:t xml:space="preserve"> the Hon. Simon Crean</w:t>
      </w:r>
      <w:r>
        <w:t xml:space="preserve"> MP</w:t>
      </w:r>
      <w:r w:rsidRPr="0081187A">
        <w:t xml:space="preserve">, approve DA73 in full </w:t>
      </w:r>
      <w:r>
        <w:t xml:space="preserve"> </w:t>
      </w:r>
      <w:r w:rsidRPr="0081187A">
        <w:t>(</w:t>
      </w:r>
      <w:r w:rsidRPr="00417862">
        <w:rPr>
          <w:i/>
        </w:rPr>
        <w:t>Attachment 5</w:t>
      </w:r>
      <w:r w:rsidRPr="0081187A">
        <w:t xml:space="preserve">). </w:t>
      </w:r>
    </w:p>
    <w:p w:rsidR="00417862" w:rsidRDefault="00417862" w:rsidP="00417862">
      <w:pPr>
        <w:pStyle w:val="Heading1"/>
      </w:pPr>
      <w:bookmarkStart w:id="14" w:name="_Toc310928372"/>
      <w:r>
        <w:t>6</w:t>
      </w:r>
      <w:r>
        <w:tab/>
        <w:t>Attachments</w:t>
      </w:r>
      <w:bookmarkEnd w:id="14"/>
    </w:p>
    <w:p w:rsidR="00417862" w:rsidRPr="00334D1B" w:rsidRDefault="00417862" w:rsidP="00417862">
      <w:pPr>
        <w:numPr>
          <w:ilvl w:val="0"/>
          <w:numId w:val="8"/>
        </w:numPr>
        <w:tabs>
          <w:tab w:val="left" w:pos="3270"/>
        </w:tabs>
        <w:spacing w:after="0"/>
      </w:pPr>
      <w:r w:rsidRPr="00334D1B">
        <w:t>Notice of release of Draft Amendment 73 for</w:t>
      </w:r>
      <w:r>
        <w:t xml:space="preserve"> public comment published in </w:t>
      </w:r>
      <w:r>
        <w:rPr>
          <w:i/>
        </w:rPr>
        <w:t>The</w:t>
      </w:r>
      <w:r w:rsidRPr="00334D1B">
        <w:t xml:space="preserve"> </w:t>
      </w:r>
      <w:r w:rsidRPr="00334D1B">
        <w:rPr>
          <w:i/>
        </w:rPr>
        <w:t xml:space="preserve">Canberra Times </w:t>
      </w:r>
      <w:r w:rsidRPr="00334D1B">
        <w:t>on Saturday 12 March 2011.</w:t>
      </w:r>
    </w:p>
    <w:p w:rsidR="00417862" w:rsidRPr="00334D1B" w:rsidRDefault="00417862" w:rsidP="00417862">
      <w:pPr>
        <w:numPr>
          <w:ilvl w:val="0"/>
          <w:numId w:val="8"/>
        </w:numPr>
        <w:tabs>
          <w:tab w:val="left" w:pos="3270"/>
        </w:tabs>
        <w:spacing w:after="0"/>
      </w:pPr>
      <w:r w:rsidRPr="00334D1B">
        <w:t xml:space="preserve">Notice of release of Draft Amendment 73 for public comment published in </w:t>
      </w:r>
      <w:r w:rsidRPr="00334D1B">
        <w:rPr>
          <w:i/>
        </w:rPr>
        <w:t xml:space="preserve">The Australian </w:t>
      </w:r>
      <w:r w:rsidRPr="00334D1B">
        <w:t>on Saturday 12 March 2011.</w:t>
      </w:r>
    </w:p>
    <w:p w:rsidR="00417862" w:rsidRPr="00334D1B" w:rsidRDefault="00417862" w:rsidP="00417862">
      <w:pPr>
        <w:numPr>
          <w:ilvl w:val="0"/>
          <w:numId w:val="8"/>
        </w:numPr>
        <w:tabs>
          <w:tab w:val="left" w:pos="3270"/>
        </w:tabs>
        <w:spacing w:after="0"/>
      </w:pPr>
      <w:r w:rsidRPr="00334D1B">
        <w:lastRenderedPageBreak/>
        <w:t xml:space="preserve">Notice of release of Draft Amendment 73 for public comment published in the </w:t>
      </w:r>
      <w:r w:rsidRPr="00334D1B">
        <w:rPr>
          <w:i/>
        </w:rPr>
        <w:t>Commonwealth of Australia Gazette</w:t>
      </w:r>
      <w:r w:rsidRPr="00334D1B">
        <w:t xml:space="preserve"> on Wednesday 16 March 2011.</w:t>
      </w:r>
    </w:p>
    <w:p w:rsidR="00417862" w:rsidRPr="00334D1B" w:rsidRDefault="00417862" w:rsidP="00417862">
      <w:pPr>
        <w:numPr>
          <w:ilvl w:val="0"/>
          <w:numId w:val="8"/>
        </w:numPr>
        <w:tabs>
          <w:tab w:val="left" w:pos="3270"/>
        </w:tabs>
        <w:spacing w:after="0"/>
      </w:pPr>
      <w:r w:rsidRPr="00334D1B">
        <w:t>Summary of submissions and detailed NCA response.</w:t>
      </w:r>
    </w:p>
    <w:p w:rsidR="00417862" w:rsidRPr="00334D1B" w:rsidRDefault="00417862" w:rsidP="00417862">
      <w:pPr>
        <w:numPr>
          <w:ilvl w:val="0"/>
          <w:numId w:val="8"/>
        </w:numPr>
        <w:tabs>
          <w:tab w:val="left" w:pos="3270"/>
        </w:tabs>
        <w:spacing w:after="0"/>
      </w:pPr>
      <w:r w:rsidRPr="00334D1B">
        <w:t xml:space="preserve">Draft Amendment 73 as to be recommended to the Minister for approval. </w:t>
      </w:r>
    </w:p>
    <w:p w:rsidR="00AB059F" w:rsidRDefault="00417862" w:rsidP="00AB059F">
      <w:pPr>
        <w:pStyle w:val="Heading2"/>
      </w:pPr>
      <w:r>
        <w:br w:type="page"/>
      </w:r>
      <w:bookmarkStart w:id="15" w:name="_Toc310928373"/>
      <w:r w:rsidR="00AB059F">
        <w:lastRenderedPageBreak/>
        <w:t>Attachment 1</w:t>
      </w:r>
      <w:bookmarkEnd w:id="15"/>
    </w:p>
    <w:p w:rsidR="00AB059F" w:rsidRPr="00BB59C9" w:rsidRDefault="00AB059F" w:rsidP="00AB059F">
      <w:pPr>
        <w:tabs>
          <w:tab w:val="left" w:pos="3270"/>
        </w:tabs>
        <w:rPr>
          <w:b/>
        </w:rPr>
      </w:pPr>
      <w:r>
        <w:rPr>
          <w:b/>
        </w:rPr>
        <w:t xml:space="preserve">Notice of release of Draft Amendment 73 for public comment published in the </w:t>
      </w:r>
      <w:smartTag w:uri="urn:schemas-microsoft-com:office:smarttags" w:element="City">
        <w:r w:rsidRPr="00946E66">
          <w:rPr>
            <w:b/>
            <w:i/>
          </w:rPr>
          <w:t>Canberra</w:t>
        </w:r>
      </w:smartTag>
      <w:r w:rsidRPr="00946E66">
        <w:rPr>
          <w:b/>
          <w:i/>
        </w:rPr>
        <w:t xml:space="preserve"> Times</w:t>
      </w:r>
      <w:r>
        <w:rPr>
          <w:b/>
        </w:rPr>
        <w:t xml:space="preserve"> on Saturday 12 March 2011. </w:t>
      </w:r>
    </w:p>
    <w:p w:rsidR="008F24B6" w:rsidRDefault="00AB059F" w:rsidP="00AB059F">
      <w:pPr>
        <w:pStyle w:val="Heading2"/>
      </w:pPr>
      <w:bookmarkStart w:id="16" w:name="_Toc310928374"/>
      <w:r>
        <w:t>Attachment 2</w:t>
      </w:r>
      <w:bookmarkEnd w:id="16"/>
    </w:p>
    <w:p w:rsidR="00AB059F" w:rsidRPr="0018219D" w:rsidRDefault="00AB059F" w:rsidP="00AB059F">
      <w:pPr>
        <w:tabs>
          <w:tab w:val="left" w:pos="3270"/>
        </w:tabs>
        <w:rPr>
          <w:b/>
        </w:rPr>
      </w:pPr>
      <w:r>
        <w:rPr>
          <w:b/>
        </w:rPr>
        <w:t xml:space="preserve">Notice of release of Draft Amendment 73 for public comment published in </w:t>
      </w:r>
      <w:r>
        <w:rPr>
          <w:b/>
          <w:i/>
        </w:rPr>
        <w:t>T</w:t>
      </w:r>
      <w:r w:rsidRPr="00946E66">
        <w:rPr>
          <w:b/>
          <w:i/>
        </w:rPr>
        <w:t>he Australian</w:t>
      </w:r>
      <w:r>
        <w:rPr>
          <w:b/>
        </w:rPr>
        <w:t xml:space="preserve"> on Saturday 12 March 2011. </w:t>
      </w:r>
    </w:p>
    <w:p w:rsidR="00AB059F" w:rsidRDefault="00AB059F" w:rsidP="00AB059F">
      <w:pPr>
        <w:pStyle w:val="Heading2"/>
      </w:pPr>
      <w:bookmarkStart w:id="17" w:name="_Toc310928375"/>
      <w:r>
        <w:t>Attachment 3</w:t>
      </w:r>
      <w:bookmarkEnd w:id="17"/>
    </w:p>
    <w:p w:rsidR="00AB059F" w:rsidRPr="0018219D" w:rsidRDefault="00AB059F" w:rsidP="00AB059F">
      <w:pPr>
        <w:tabs>
          <w:tab w:val="left" w:pos="3270"/>
        </w:tabs>
        <w:rPr>
          <w:b/>
        </w:rPr>
      </w:pPr>
      <w:r w:rsidRPr="0018219D">
        <w:rPr>
          <w:b/>
        </w:rPr>
        <w:t xml:space="preserve">Notice of release of Draft Amendment 73 for public comment published in the </w:t>
      </w:r>
      <w:r w:rsidRPr="00490A42">
        <w:rPr>
          <w:b/>
          <w:i/>
        </w:rPr>
        <w:t xml:space="preserve">Commonwealth of </w:t>
      </w:r>
      <w:smartTag w:uri="urn:schemas-microsoft-com:office:smarttags" w:element="City">
        <w:r w:rsidRPr="00490A42">
          <w:rPr>
            <w:b/>
            <w:i/>
          </w:rPr>
          <w:t>Australia</w:t>
        </w:r>
      </w:smartTag>
      <w:r w:rsidRPr="00490A42">
        <w:rPr>
          <w:b/>
          <w:i/>
        </w:rPr>
        <w:t xml:space="preserve"> Gazette</w:t>
      </w:r>
      <w:r w:rsidRPr="0018219D">
        <w:rPr>
          <w:b/>
        </w:rPr>
        <w:t xml:space="preserve"> on Wednesday 16 March 2011. </w:t>
      </w:r>
    </w:p>
    <w:p w:rsidR="0082056B" w:rsidRPr="0082056B" w:rsidRDefault="0082056B" w:rsidP="0082056B">
      <w:pPr>
        <w:sectPr w:rsidR="0082056B" w:rsidRPr="0082056B">
          <w:footerReference w:type="even" r:id="rId8"/>
          <w:footerReference w:type="default" r:id="rId9"/>
          <w:pgSz w:w="11906" w:h="16838"/>
          <w:pgMar w:top="1440" w:right="1800" w:bottom="1440" w:left="1800" w:header="708" w:footer="708" w:gutter="0"/>
          <w:cols w:space="708"/>
          <w:docGrid w:linePitch="360"/>
        </w:sectPr>
      </w:pPr>
    </w:p>
    <w:p w:rsidR="00AB059F" w:rsidRDefault="00AB059F" w:rsidP="00AB059F">
      <w:pPr>
        <w:pStyle w:val="Heading2"/>
      </w:pPr>
      <w:bookmarkStart w:id="18" w:name="_Toc310928376"/>
      <w:r>
        <w:lastRenderedPageBreak/>
        <w:t>Attachment 4 – Summary of submissions</w:t>
      </w:r>
      <w:bookmarkEnd w:id="18"/>
    </w:p>
    <w:p w:rsidR="00AB059F" w:rsidRPr="00F539CC" w:rsidRDefault="00AB059F" w:rsidP="00AB059F">
      <w:r w:rsidRPr="00F539CC">
        <w:t xml:space="preserve">Note: Details of each submitter have only been reproduced in this table where a submitter has granted permission for their name and/ or address to be used by the National Capital Authority for the purposes of </w:t>
      </w:r>
      <w:r>
        <w:t>the Report on Consultation for D</w:t>
      </w:r>
      <w:r w:rsidRPr="00F539CC">
        <w:t xml:space="preserve">raft </w:t>
      </w:r>
      <w:r>
        <w:t>Amendment 73</w:t>
      </w:r>
      <w:r w:rsidRPr="00F539CC">
        <w:t xml:space="preserve">. </w:t>
      </w:r>
    </w:p>
    <w:tbl>
      <w:tblPr>
        <w:tblStyle w:val="TableGrid"/>
        <w:tblW w:w="0" w:type="auto"/>
        <w:tblLook w:val="01E0" w:firstRow="1" w:lastRow="1" w:firstColumn="1" w:lastColumn="1" w:noHBand="0" w:noVBand="0"/>
        <w:tblCaption w:val="Attachment 4 – Summary of submissions"/>
        <w:tblDescription w:val="Attachment 4 – Summary of submissions"/>
      </w:tblPr>
      <w:tblGrid>
        <w:gridCol w:w="2130"/>
        <w:gridCol w:w="2130"/>
        <w:gridCol w:w="4674"/>
        <w:gridCol w:w="4674"/>
      </w:tblGrid>
      <w:tr w:rsidR="00AB059F" w:rsidRPr="00F539CC" w:rsidTr="00F57B95">
        <w:trPr>
          <w:tblHeader/>
        </w:trPr>
        <w:tc>
          <w:tcPr>
            <w:tcW w:w="2130" w:type="dxa"/>
            <w:shd w:val="clear" w:color="auto" w:fill="D9D9D9"/>
          </w:tcPr>
          <w:p w:rsidR="00AB059F" w:rsidRPr="00F539CC" w:rsidRDefault="00AB059F" w:rsidP="00AB059F">
            <w:pPr>
              <w:rPr>
                <w:sz w:val="22"/>
              </w:rPr>
            </w:pPr>
            <w:bookmarkStart w:id="19" w:name="_GoBack"/>
            <w:r w:rsidRPr="00F539CC">
              <w:rPr>
                <w:sz w:val="22"/>
              </w:rPr>
              <w:t>Submission No.</w:t>
            </w:r>
          </w:p>
        </w:tc>
        <w:tc>
          <w:tcPr>
            <w:tcW w:w="2130" w:type="dxa"/>
            <w:shd w:val="clear" w:color="auto" w:fill="D9D9D9"/>
          </w:tcPr>
          <w:p w:rsidR="00AB059F" w:rsidRPr="00F539CC" w:rsidRDefault="00AB059F" w:rsidP="00AB059F">
            <w:pPr>
              <w:rPr>
                <w:sz w:val="22"/>
              </w:rPr>
            </w:pPr>
            <w:r w:rsidRPr="00F539CC">
              <w:rPr>
                <w:sz w:val="22"/>
              </w:rPr>
              <w:t>Details of Submitter</w:t>
            </w:r>
          </w:p>
        </w:tc>
        <w:tc>
          <w:tcPr>
            <w:tcW w:w="4674" w:type="dxa"/>
            <w:shd w:val="clear" w:color="auto" w:fill="D9D9D9"/>
          </w:tcPr>
          <w:p w:rsidR="00AB059F" w:rsidRPr="00F539CC" w:rsidRDefault="00AB059F" w:rsidP="00AB059F">
            <w:pPr>
              <w:rPr>
                <w:sz w:val="22"/>
              </w:rPr>
            </w:pPr>
            <w:r w:rsidRPr="00F539CC">
              <w:rPr>
                <w:sz w:val="22"/>
              </w:rPr>
              <w:t>Key Points Raised in Submission</w:t>
            </w:r>
          </w:p>
        </w:tc>
        <w:tc>
          <w:tcPr>
            <w:tcW w:w="4674" w:type="dxa"/>
            <w:shd w:val="clear" w:color="auto" w:fill="D9D9D9"/>
          </w:tcPr>
          <w:p w:rsidR="00AB059F" w:rsidRPr="00F539CC" w:rsidRDefault="00AB059F" w:rsidP="00AB059F">
            <w:pPr>
              <w:rPr>
                <w:sz w:val="22"/>
              </w:rPr>
            </w:pPr>
            <w:r w:rsidRPr="00F539CC">
              <w:rPr>
                <w:sz w:val="22"/>
              </w:rPr>
              <w:t>NCA Consideration</w:t>
            </w:r>
          </w:p>
        </w:tc>
      </w:tr>
      <w:tr w:rsidR="00AB059F" w:rsidRPr="00F82064" w:rsidTr="00AB059F">
        <w:trPr>
          <w:trHeight w:val="1388"/>
        </w:trPr>
        <w:tc>
          <w:tcPr>
            <w:tcW w:w="2130" w:type="dxa"/>
            <w:shd w:val="clear" w:color="auto" w:fill="F3F3F3"/>
          </w:tcPr>
          <w:p w:rsidR="00AB059F" w:rsidRPr="00000435" w:rsidRDefault="00AB059F" w:rsidP="00AB059F">
            <w:pPr>
              <w:rPr>
                <w:sz w:val="22"/>
                <w:highlight w:val="yellow"/>
              </w:rPr>
            </w:pPr>
            <w:r w:rsidRPr="00F539CC">
              <w:rPr>
                <w:sz w:val="22"/>
              </w:rPr>
              <w:t>1</w:t>
            </w:r>
          </w:p>
        </w:tc>
        <w:tc>
          <w:tcPr>
            <w:tcW w:w="2130" w:type="dxa"/>
            <w:shd w:val="clear" w:color="auto" w:fill="F3F3F3"/>
          </w:tcPr>
          <w:p w:rsidR="00AB059F" w:rsidRPr="00F82064" w:rsidRDefault="00AB059F" w:rsidP="00AB059F">
            <w:pPr>
              <w:rPr>
                <w:sz w:val="22"/>
              </w:rPr>
            </w:pPr>
            <w:r w:rsidRPr="00F82064">
              <w:rPr>
                <w:sz w:val="22"/>
              </w:rPr>
              <w:t>David Lowe</w:t>
            </w:r>
          </w:p>
        </w:tc>
        <w:tc>
          <w:tcPr>
            <w:tcW w:w="4674" w:type="dxa"/>
            <w:shd w:val="clear" w:color="auto" w:fill="F3F3F3"/>
          </w:tcPr>
          <w:p w:rsidR="00AB059F" w:rsidRPr="00AB059F" w:rsidRDefault="00AB059F" w:rsidP="00AB059F">
            <w:pPr>
              <w:rPr>
                <w:color w:val="000000"/>
                <w:sz w:val="22"/>
              </w:rPr>
            </w:pPr>
            <w:r w:rsidRPr="00252D2D">
              <w:rPr>
                <w:color w:val="000000"/>
                <w:sz w:val="22"/>
              </w:rPr>
              <w:t xml:space="preserve">Supports Draft Amendment 73. Perceives this as </w:t>
            </w:r>
            <w:r>
              <w:rPr>
                <w:color w:val="000000"/>
                <w:sz w:val="22"/>
              </w:rPr>
              <w:t xml:space="preserve">a way of </w:t>
            </w:r>
            <w:r w:rsidRPr="00252D2D">
              <w:rPr>
                <w:color w:val="000000"/>
                <w:sz w:val="22"/>
              </w:rPr>
              <w:t>maintaining a variety of old and new development features within the suburb of Yarralumla</w:t>
            </w:r>
            <w:r>
              <w:rPr>
                <w:color w:val="000000"/>
                <w:sz w:val="22"/>
              </w:rPr>
              <w:t>. This</w:t>
            </w:r>
            <w:r w:rsidRPr="00252D2D">
              <w:rPr>
                <w:color w:val="000000"/>
                <w:sz w:val="22"/>
              </w:rPr>
              <w:t xml:space="preserve"> provides diversity and character.</w:t>
            </w:r>
          </w:p>
        </w:tc>
        <w:tc>
          <w:tcPr>
            <w:tcW w:w="4674" w:type="dxa"/>
            <w:shd w:val="clear" w:color="auto" w:fill="F3F3F3"/>
          </w:tcPr>
          <w:p w:rsidR="00AB059F" w:rsidRPr="00F82064" w:rsidRDefault="00AB059F" w:rsidP="00AB059F">
            <w:pPr>
              <w:rPr>
                <w:sz w:val="22"/>
              </w:rPr>
            </w:pPr>
            <w:r>
              <w:rPr>
                <w:sz w:val="22"/>
              </w:rPr>
              <w:t>Noted.</w:t>
            </w:r>
            <w:r w:rsidRPr="00F82064">
              <w:rPr>
                <w:sz w:val="22"/>
              </w:rPr>
              <w:t xml:space="preserve">  </w:t>
            </w:r>
          </w:p>
        </w:tc>
      </w:tr>
      <w:tr w:rsidR="00AB059F" w:rsidRPr="00000435" w:rsidTr="00F57B95">
        <w:trPr>
          <w:trHeight w:val="2303"/>
        </w:trPr>
        <w:tc>
          <w:tcPr>
            <w:tcW w:w="2130" w:type="dxa"/>
          </w:tcPr>
          <w:p w:rsidR="00AB059F" w:rsidRPr="00000435" w:rsidRDefault="00AB059F" w:rsidP="00AB059F">
            <w:pPr>
              <w:rPr>
                <w:sz w:val="22"/>
                <w:highlight w:val="yellow"/>
              </w:rPr>
            </w:pPr>
            <w:r w:rsidRPr="000B7662">
              <w:rPr>
                <w:sz w:val="22"/>
              </w:rPr>
              <w:t>2</w:t>
            </w:r>
          </w:p>
        </w:tc>
        <w:tc>
          <w:tcPr>
            <w:tcW w:w="2130" w:type="dxa"/>
          </w:tcPr>
          <w:p w:rsidR="00AB059F" w:rsidRPr="00F82064" w:rsidRDefault="00AB059F" w:rsidP="00AB059F">
            <w:pPr>
              <w:rPr>
                <w:sz w:val="22"/>
              </w:rPr>
            </w:pPr>
            <w:r w:rsidRPr="00F82064">
              <w:rPr>
                <w:sz w:val="22"/>
              </w:rPr>
              <w:t xml:space="preserve">National Trust of </w:t>
            </w:r>
            <w:smartTag w:uri="urn:schemas-microsoft-com:office:smarttags" w:element="City">
              <w:r w:rsidRPr="00F82064">
                <w:rPr>
                  <w:sz w:val="22"/>
                </w:rPr>
                <w:t>Australia</w:t>
              </w:r>
            </w:smartTag>
            <w:r w:rsidRPr="00F82064">
              <w:rPr>
                <w:sz w:val="22"/>
              </w:rPr>
              <w:t xml:space="preserve"> (ACT)</w:t>
            </w:r>
          </w:p>
          <w:p w:rsidR="00AB059F" w:rsidRPr="00F82064" w:rsidRDefault="00AB059F" w:rsidP="00AB059F">
            <w:pPr>
              <w:rPr>
                <w:sz w:val="22"/>
              </w:rPr>
            </w:pPr>
            <w:smartTag w:uri="urn:schemas-microsoft-com:office:smarttags" w:element="City">
              <w:smartTag w:uri="urn:schemas-microsoft-com:office:smarttags" w:element="City">
                <w:r w:rsidRPr="00F82064">
                  <w:rPr>
                    <w:sz w:val="22"/>
                  </w:rPr>
                  <w:t>P O Box</w:t>
                </w:r>
              </w:smartTag>
              <w:r w:rsidRPr="00F82064">
                <w:rPr>
                  <w:sz w:val="22"/>
                </w:rPr>
                <w:t xml:space="preserve"> 1144</w:t>
              </w:r>
            </w:smartTag>
          </w:p>
          <w:p w:rsidR="00AB059F" w:rsidRPr="00000435" w:rsidRDefault="00AB059F" w:rsidP="00AB059F">
            <w:pPr>
              <w:rPr>
                <w:sz w:val="22"/>
                <w:highlight w:val="yellow"/>
              </w:rPr>
            </w:pPr>
            <w:r w:rsidRPr="00F82064">
              <w:rPr>
                <w:sz w:val="22"/>
              </w:rPr>
              <w:t>Civic Square ACT 2608</w:t>
            </w:r>
          </w:p>
        </w:tc>
        <w:tc>
          <w:tcPr>
            <w:tcW w:w="4674" w:type="dxa"/>
          </w:tcPr>
          <w:p w:rsidR="00AB059F" w:rsidRDefault="00AB059F" w:rsidP="00AB059F">
            <w:pPr>
              <w:rPr>
                <w:color w:val="000000"/>
                <w:sz w:val="22"/>
              </w:rPr>
            </w:pPr>
            <w:r w:rsidRPr="00117780">
              <w:rPr>
                <w:color w:val="000000"/>
                <w:sz w:val="22"/>
              </w:rPr>
              <w:t xml:space="preserve">Supports the proposed </w:t>
            </w:r>
            <w:r>
              <w:rPr>
                <w:color w:val="000000"/>
                <w:sz w:val="22"/>
              </w:rPr>
              <w:t xml:space="preserve">land use policy </w:t>
            </w:r>
            <w:r w:rsidRPr="00117780">
              <w:rPr>
                <w:color w:val="000000"/>
                <w:sz w:val="22"/>
              </w:rPr>
              <w:t>change from ‘Community Facility’ to ‘Single Dwelling Housing.’ This</w:t>
            </w:r>
            <w:r>
              <w:rPr>
                <w:color w:val="000000"/>
                <w:sz w:val="22"/>
              </w:rPr>
              <w:t xml:space="preserve"> </w:t>
            </w:r>
            <w:r w:rsidRPr="00117780">
              <w:rPr>
                <w:color w:val="000000"/>
                <w:sz w:val="22"/>
              </w:rPr>
              <w:t>will assist i</w:t>
            </w:r>
            <w:r>
              <w:rPr>
                <w:color w:val="000000"/>
                <w:sz w:val="22"/>
              </w:rPr>
              <w:t>n keeping the heritage features</w:t>
            </w:r>
            <w:r w:rsidRPr="00117780">
              <w:rPr>
                <w:color w:val="000000"/>
                <w:sz w:val="22"/>
              </w:rPr>
              <w:t xml:space="preserve"> </w:t>
            </w:r>
            <w:r>
              <w:rPr>
                <w:color w:val="000000"/>
                <w:sz w:val="22"/>
              </w:rPr>
              <w:t>(</w:t>
            </w:r>
            <w:r w:rsidRPr="00117780">
              <w:rPr>
                <w:color w:val="000000"/>
                <w:sz w:val="22"/>
              </w:rPr>
              <w:t>including the house, garden, garage and landscape</w:t>
            </w:r>
            <w:r>
              <w:rPr>
                <w:color w:val="000000"/>
                <w:sz w:val="22"/>
              </w:rPr>
              <w:t>)</w:t>
            </w:r>
            <w:r w:rsidRPr="00117780">
              <w:rPr>
                <w:color w:val="000000"/>
                <w:sz w:val="22"/>
              </w:rPr>
              <w:t xml:space="preserve"> intact. Notes the residence is listed on both the Commonwealth Heritage List and the Register of the National Estate for its heritage significance. </w:t>
            </w:r>
          </w:p>
          <w:p w:rsidR="00AB059F" w:rsidRPr="00A3714F" w:rsidRDefault="00AB059F" w:rsidP="00AB059F">
            <w:pPr>
              <w:rPr>
                <w:color w:val="000000"/>
                <w:sz w:val="22"/>
              </w:rPr>
            </w:pPr>
            <w:r>
              <w:rPr>
                <w:color w:val="000000"/>
                <w:sz w:val="22"/>
              </w:rPr>
              <w:t>Considers</w:t>
            </w:r>
            <w:r w:rsidRPr="00A3714F">
              <w:rPr>
                <w:color w:val="000000"/>
                <w:sz w:val="22"/>
              </w:rPr>
              <w:t xml:space="preserve"> that it is important to provide limited public access if possible to the site.</w:t>
            </w:r>
          </w:p>
          <w:p w:rsidR="00AB059F" w:rsidRPr="00000435" w:rsidRDefault="00AB059F" w:rsidP="00AB059F">
            <w:pPr>
              <w:rPr>
                <w:sz w:val="22"/>
                <w:highlight w:val="yellow"/>
              </w:rPr>
            </w:pPr>
          </w:p>
        </w:tc>
        <w:tc>
          <w:tcPr>
            <w:tcW w:w="4674" w:type="dxa"/>
          </w:tcPr>
          <w:p w:rsidR="00AB059F" w:rsidRDefault="00AB059F" w:rsidP="00AB059F">
            <w:pPr>
              <w:rPr>
                <w:sz w:val="22"/>
              </w:rPr>
            </w:pPr>
            <w:r>
              <w:rPr>
                <w:sz w:val="22"/>
              </w:rPr>
              <w:t xml:space="preserve">Noted. </w:t>
            </w:r>
          </w:p>
          <w:p w:rsidR="00AB059F" w:rsidRDefault="00AB059F" w:rsidP="00AB059F">
            <w:pPr>
              <w:rPr>
                <w:sz w:val="22"/>
              </w:rPr>
            </w:pPr>
          </w:p>
          <w:p w:rsidR="00AB059F" w:rsidRDefault="00AB059F" w:rsidP="00AB059F">
            <w:pPr>
              <w:rPr>
                <w:sz w:val="22"/>
              </w:rPr>
            </w:pPr>
          </w:p>
          <w:p w:rsidR="00AB059F" w:rsidRDefault="00AB059F" w:rsidP="00AB059F">
            <w:pPr>
              <w:rPr>
                <w:sz w:val="22"/>
              </w:rPr>
            </w:pPr>
          </w:p>
          <w:p w:rsidR="00AB059F" w:rsidRDefault="00AB059F" w:rsidP="00AB059F">
            <w:pPr>
              <w:rPr>
                <w:sz w:val="22"/>
              </w:rPr>
            </w:pPr>
          </w:p>
          <w:p w:rsidR="00AB059F" w:rsidRDefault="00AB059F" w:rsidP="00AB059F">
            <w:pPr>
              <w:rPr>
                <w:sz w:val="22"/>
              </w:rPr>
            </w:pPr>
          </w:p>
          <w:p w:rsidR="00AB059F" w:rsidRPr="00AB059F" w:rsidRDefault="00AB059F" w:rsidP="00AB059F">
            <w:pPr>
              <w:rPr>
                <w:sz w:val="22"/>
              </w:rPr>
            </w:pPr>
            <w:r>
              <w:rPr>
                <w:sz w:val="22"/>
              </w:rPr>
              <w:t>Allowing p</w:t>
            </w:r>
            <w:r w:rsidRPr="00F54526">
              <w:rPr>
                <w:sz w:val="22"/>
              </w:rPr>
              <w:t>ublic access will be up to the</w:t>
            </w:r>
            <w:r>
              <w:rPr>
                <w:sz w:val="22"/>
              </w:rPr>
              <w:t xml:space="preserve"> discretion of the new owner</w:t>
            </w:r>
            <w:r w:rsidRPr="00F54526">
              <w:rPr>
                <w:sz w:val="22"/>
              </w:rPr>
              <w:t xml:space="preserve">. </w:t>
            </w:r>
          </w:p>
        </w:tc>
      </w:tr>
      <w:tr w:rsidR="00AB059F" w:rsidRPr="00513513" w:rsidTr="00F57B95">
        <w:trPr>
          <w:trHeight w:val="1148"/>
        </w:trPr>
        <w:tc>
          <w:tcPr>
            <w:tcW w:w="2130" w:type="dxa"/>
            <w:shd w:val="clear" w:color="auto" w:fill="F3F3F3"/>
          </w:tcPr>
          <w:p w:rsidR="00AB059F" w:rsidRPr="00000435" w:rsidRDefault="00AB059F" w:rsidP="00AB059F">
            <w:pPr>
              <w:rPr>
                <w:sz w:val="22"/>
                <w:highlight w:val="yellow"/>
              </w:rPr>
            </w:pPr>
            <w:r w:rsidRPr="000B7662">
              <w:rPr>
                <w:sz w:val="22"/>
              </w:rPr>
              <w:t>3</w:t>
            </w:r>
          </w:p>
        </w:tc>
        <w:tc>
          <w:tcPr>
            <w:tcW w:w="2130" w:type="dxa"/>
            <w:shd w:val="clear" w:color="auto" w:fill="F3F3F3"/>
          </w:tcPr>
          <w:p w:rsidR="00AB059F" w:rsidRPr="00F82064" w:rsidRDefault="00AB059F" w:rsidP="00AB059F">
            <w:pPr>
              <w:rPr>
                <w:sz w:val="22"/>
              </w:rPr>
            </w:pPr>
            <w:r w:rsidRPr="00F82064">
              <w:rPr>
                <w:sz w:val="22"/>
              </w:rPr>
              <w:t>Yarralumla Residents Association</w:t>
            </w:r>
          </w:p>
          <w:p w:rsidR="00AB059F" w:rsidRPr="00F82064" w:rsidRDefault="00AB059F" w:rsidP="00AB059F">
            <w:pPr>
              <w:rPr>
                <w:sz w:val="22"/>
              </w:rPr>
            </w:pPr>
            <w:smartTag w:uri="urn:schemas-microsoft-com:office:smarttags" w:element="City">
              <w:smartTag w:uri="urn:schemas-microsoft-com:office:smarttags" w:element="City">
                <w:r w:rsidRPr="00F82064">
                  <w:rPr>
                    <w:sz w:val="22"/>
                  </w:rPr>
                  <w:t>PO Box</w:t>
                </w:r>
              </w:smartTag>
              <w:r w:rsidRPr="00F82064">
                <w:rPr>
                  <w:sz w:val="22"/>
                </w:rPr>
                <w:t xml:space="preserve"> 7123</w:t>
              </w:r>
            </w:smartTag>
          </w:p>
          <w:p w:rsidR="00AB059F" w:rsidRPr="00F82064" w:rsidRDefault="00AB059F" w:rsidP="00AB059F">
            <w:pPr>
              <w:rPr>
                <w:sz w:val="22"/>
              </w:rPr>
            </w:pPr>
            <w:r w:rsidRPr="00F82064">
              <w:rPr>
                <w:sz w:val="22"/>
              </w:rPr>
              <w:t>Yarralumla ACT 2600</w:t>
            </w:r>
          </w:p>
          <w:p w:rsidR="00AB059F" w:rsidRPr="00000435" w:rsidRDefault="00AB059F" w:rsidP="00AB059F">
            <w:pPr>
              <w:rPr>
                <w:sz w:val="22"/>
                <w:highlight w:val="yellow"/>
              </w:rPr>
            </w:pPr>
          </w:p>
        </w:tc>
        <w:tc>
          <w:tcPr>
            <w:tcW w:w="4674" w:type="dxa"/>
            <w:shd w:val="clear" w:color="auto" w:fill="F3F3F3"/>
          </w:tcPr>
          <w:p w:rsidR="00AB059F" w:rsidRPr="00A3714F" w:rsidRDefault="00AB059F" w:rsidP="00AB059F">
            <w:pPr>
              <w:rPr>
                <w:color w:val="000000"/>
                <w:sz w:val="22"/>
              </w:rPr>
            </w:pPr>
            <w:r w:rsidRPr="00A3714F">
              <w:rPr>
                <w:color w:val="000000"/>
                <w:sz w:val="22"/>
              </w:rPr>
              <w:lastRenderedPageBreak/>
              <w:t>Wants to ensure the ongoing protection of Westridge House is maintained and EPBC Act provisions keep its current state maintained.</w:t>
            </w:r>
          </w:p>
          <w:p w:rsidR="00AB059F" w:rsidRPr="00A3714F" w:rsidRDefault="00AB059F" w:rsidP="00AB059F">
            <w:pPr>
              <w:rPr>
                <w:color w:val="000000"/>
                <w:sz w:val="22"/>
              </w:rPr>
            </w:pPr>
          </w:p>
          <w:p w:rsidR="00AB059F" w:rsidRPr="00A3714F" w:rsidRDefault="00AB059F" w:rsidP="00AB059F">
            <w:pPr>
              <w:rPr>
                <w:color w:val="000000"/>
                <w:sz w:val="22"/>
              </w:rPr>
            </w:pPr>
            <w:r w:rsidRPr="00A3714F">
              <w:rPr>
                <w:color w:val="000000"/>
                <w:sz w:val="22"/>
              </w:rPr>
              <w:t xml:space="preserve">Perceive that the wording “Single Dwelling Housing” shows no ambiguity, opening the potential for it to be interpreted as several </w:t>
            </w:r>
            <w:r w:rsidRPr="00A3714F">
              <w:rPr>
                <w:color w:val="000000"/>
                <w:sz w:val="22"/>
              </w:rPr>
              <w:lastRenderedPageBreak/>
              <w:t xml:space="preserve">single dwellings. Want the term “Single Dwelling” and delete “Housing” which could imply the plural. </w:t>
            </w:r>
          </w:p>
          <w:p w:rsidR="00AB059F" w:rsidRDefault="00AB059F" w:rsidP="00AB059F">
            <w:pPr>
              <w:rPr>
                <w:sz w:val="22"/>
              </w:rPr>
            </w:pPr>
          </w:p>
          <w:p w:rsidR="00AB059F" w:rsidRPr="00A3714F" w:rsidRDefault="00AB059F" w:rsidP="00AB059F">
            <w:pPr>
              <w:rPr>
                <w:color w:val="000000"/>
                <w:sz w:val="22"/>
              </w:rPr>
            </w:pPr>
            <w:r w:rsidRPr="00A3714F">
              <w:rPr>
                <w:color w:val="000000"/>
                <w:sz w:val="22"/>
              </w:rPr>
              <w:t xml:space="preserve">Concerned with possibility of future land use policy being altered to accommodate multi-unit development. </w:t>
            </w:r>
          </w:p>
          <w:p w:rsidR="00AB059F" w:rsidRDefault="00AB059F" w:rsidP="00AB059F">
            <w:pPr>
              <w:rPr>
                <w:sz w:val="22"/>
                <w:highlight w:val="yellow"/>
              </w:rPr>
            </w:pPr>
          </w:p>
          <w:p w:rsidR="00AB059F" w:rsidRPr="00A3714F" w:rsidRDefault="00AB059F" w:rsidP="00AB059F">
            <w:pPr>
              <w:rPr>
                <w:color w:val="000000"/>
                <w:sz w:val="22"/>
              </w:rPr>
            </w:pPr>
            <w:r w:rsidRPr="00A3714F">
              <w:rPr>
                <w:color w:val="000000"/>
                <w:sz w:val="22"/>
              </w:rPr>
              <w:t>Request</w:t>
            </w:r>
            <w:r>
              <w:rPr>
                <w:color w:val="000000"/>
                <w:sz w:val="22"/>
              </w:rPr>
              <w:t>s that</w:t>
            </w:r>
            <w:r w:rsidRPr="00A3714F">
              <w:rPr>
                <w:color w:val="000000"/>
                <w:sz w:val="22"/>
              </w:rPr>
              <w:t xml:space="preserve"> no changes are made to the current e</w:t>
            </w:r>
            <w:r>
              <w:rPr>
                <w:color w:val="000000"/>
                <w:sz w:val="22"/>
              </w:rPr>
              <w:t>nvelope of the site. Contends that the erection of a perimeter fence</w:t>
            </w:r>
            <w:r w:rsidRPr="00A3714F">
              <w:rPr>
                <w:color w:val="000000"/>
                <w:sz w:val="22"/>
              </w:rPr>
              <w:t xml:space="preserve"> would alter the route taken by residents through </w:t>
            </w:r>
            <w:smartTag w:uri="urn:schemas-microsoft-com:office:smarttags" w:element="City">
              <w:r w:rsidRPr="00A3714F">
                <w:rPr>
                  <w:color w:val="000000"/>
                  <w:sz w:val="22"/>
                </w:rPr>
                <w:t>Bank Street</w:t>
              </w:r>
            </w:smartTag>
            <w:r w:rsidRPr="00A3714F">
              <w:rPr>
                <w:color w:val="000000"/>
                <w:sz w:val="22"/>
              </w:rPr>
              <w:t xml:space="preserve"> via Westridge House’s green slip.</w:t>
            </w:r>
          </w:p>
          <w:p w:rsidR="00AB059F" w:rsidRPr="00A3714F" w:rsidRDefault="00AB059F" w:rsidP="00AB059F">
            <w:pPr>
              <w:rPr>
                <w:color w:val="000000"/>
                <w:sz w:val="22"/>
              </w:rPr>
            </w:pPr>
            <w:r w:rsidRPr="00000435">
              <w:rPr>
                <w:highlight w:val="yellow"/>
              </w:rPr>
              <w:br/>
            </w:r>
            <w:r w:rsidRPr="00A3714F">
              <w:rPr>
                <w:color w:val="000000"/>
                <w:sz w:val="22"/>
              </w:rPr>
              <w:t xml:space="preserve">Recognises the </w:t>
            </w:r>
            <w:r>
              <w:rPr>
                <w:color w:val="000000"/>
                <w:sz w:val="22"/>
              </w:rPr>
              <w:t xml:space="preserve">historic </w:t>
            </w:r>
            <w:r w:rsidRPr="00A3714F">
              <w:rPr>
                <w:color w:val="000000"/>
                <w:sz w:val="22"/>
              </w:rPr>
              <w:t xml:space="preserve">importance of Westridge </w:t>
            </w:r>
            <w:r>
              <w:rPr>
                <w:color w:val="000000"/>
                <w:sz w:val="22"/>
              </w:rPr>
              <w:t>House</w:t>
            </w:r>
            <w:r w:rsidRPr="00A3714F">
              <w:rPr>
                <w:color w:val="000000"/>
                <w:sz w:val="22"/>
              </w:rPr>
              <w:t>. Want</w:t>
            </w:r>
            <w:r>
              <w:rPr>
                <w:color w:val="000000"/>
                <w:sz w:val="22"/>
              </w:rPr>
              <w:t>s</w:t>
            </w:r>
            <w:r w:rsidRPr="00A3714F">
              <w:rPr>
                <w:color w:val="000000"/>
                <w:sz w:val="22"/>
              </w:rPr>
              <w:t xml:space="preserve"> signage or a once a year public open day to be enforced as part of the agreement.</w:t>
            </w:r>
          </w:p>
          <w:p w:rsidR="00AB059F" w:rsidRPr="00000435" w:rsidRDefault="00AB059F" w:rsidP="00AB059F">
            <w:pPr>
              <w:rPr>
                <w:sz w:val="22"/>
                <w:highlight w:val="yellow"/>
              </w:rPr>
            </w:pPr>
          </w:p>
        </w:tc>
        <w:tc>
          <w:tcPr>
            <w:tcW w:w="4674" w:type="dxa"/>
            <w:shd w:val="clear" w:color="auto" w:fill="F3F3F3"/>
          </w:tcPr>
          <w:p w:rsidR="00AB059F" w:rsidRDefault="00AB059F" w:rsidP="00AB059F">
            <w:pPr>
              <w:rPr>
                <w:sz w:val="22"/>
                <w:highlight w:val="yellow"/>
              </w:rPr>
            </w:pPr>
            <w:r w:rsidRPr="00FD4E95">
              <w:rPr>
                <w:sz w:val="22"/>
              </w:rPr>
              <w:lastRenderedPageBreak/>
              <w:t xml:space="preserve">The Westridge House Heritage Management Plan was established by the CSIRO before the auction to ensure the amenity is kept and maintained with its future uses. </w:t>
            </w:r>
            <w:r w:rsidRPr="00000435">
              <w:rPr>
                <w:highlight w:val="yellow"/>
              </w:rPr>
              <w:br/>
            </w:r>
          </w:p>
          <w:p w:rsidR="00AB059F" w:rsidRDefault="00AB059F" w:rsidP="00AB059F">
            <w:pPr>
              <w:rPr>
                <w:bCs/>
                <w:sz w:val="22"/>
              </w:rPr>
            </w:pPr>
            <w:r>
              <w:rPr>
                <w:sz w:val="22"/>
              </w:rPr>
              <w:t xml:space="preserve">The definition of </w:t>
            </w:r>
            <w:r w:rsidRPr="00EA13F2">
              <w:rPr>
                <w:sz w:val="22"/>
              </w:rPr>
              <w:t xml:space="preserve">‘Single Dwelling Housing’ </w:t>
            </w:r>
            <w:r>
              <w:rPr>
                <w:sz w:val="22"/>
              </w:rPr>
              <w:t xml:space="preserve">states </w:t>
            </w:r>
            <w:r>
              <w:rPr>
                <w:bCs/>
                <w:i/>
                <w:sz w:val="22"/>
              </w:rPr>
              <w:t>‘</w:t>
            </w:r>
            <w:r w:rsidRPr="00FD4E95">
              <w:rPr>
                <w:bCs/>
                <w:i/>
                <w:sz w:val="22"/>
              </w:rPr>
              <w:t xml:space="preserve">the use of the land for residential </w:t>
            </w:r>
            <w:r w:rsidRPr="00FD4E95">
              <w:rPr>
                <w:bCs/>
                <w:i/>
                <w:sz w:val="22"/>
              </w:rPr>
              <w:lastRenderedPageBreak/>
              <w:t>purposes for a single dwelling only</w:t>
            </w:r>
            <w:r>
              <w:rPr>
                <w:bCs/>
                <w:i/>
                <w:sz w:val="22"/>
              </w:rPr>
              <w:t xml:space="preserve">’ </w:t>
            </w:r>
            <w:r>
              <w:rPr>
                <w:bCs/>
                <w:sz w:val="22"/>
              </w:rPr>
              <w:t xml:space="preserve">which implies no plural to the interpretation of the word ‘housing’. </w:t>
            </w:r>
          </w:p>
          <w:p w:rsidR="00AB059F" w:rsidRDefault="00AB059F" w:rsidP="00AB059F">
            <w:pPr>
              <w:rPr>
                <w:bCs/>
                <w:color w:val="000000"/>
                <w:spacing w:val="2"/>
                <w:sz w:val="22"/>
                <w:szCs w:val="22"/>
              </w:rPr>
            </w:pPr>
          </w:p>
          <w:p w:rsidR="00AB059F" w:rsidRDefault="00AB059F" w:rsidP="00AB059F">
            <w:pPr>
              <w:rPr>
                <w:sz w:val="22"/>
                <w:lang w:val="en-GB"/>
              </w:rPr>
            </w:pPr>
          </w:p>
          <w:p w:rsidR="00AB059F" w:rsidRPr="00093F2E" w:rsidRDefault="00AB059F" w:rsidP="00AB059F">
            <w:pPr>
              <w:rPr>
                <w:sz w:val="22"/>
                <w:lang w:val="en-GB"/>
              </w:rPr>
            </w:pPr>
            <w:r w:rsidRPr="00093F2E">
              <w:rPr>
                <w:sz w:val="22"/>
                <w:lang w:val="en-GB"/>
              </w:rPr>
              <w:t xml:space="preserve">The NCA agreed that it was willing to </w:t>
            </w:r>
            <w:r w:rsidRPr="00093F2E">
              <w:rPr>
                <w:iCs/>
                <w:sz w:val="22"/>
                <w:lang w:val="en-GB"/>
              </w:rPr>
              <w:t>propose</w:t>
            </w:r>
            <w:r w:rsidRPr="00093F2E">
              <w:rPr>
                <w:sz w:val="22"/>
                <w:lang w:val="en-GB"/>
              </w:rPr>
              <w:t xml:space="preserve"> an amendment to the Plan to allow single residential </w:t>
            </w:r>
            <w:r w:rsidRPr="00766178">
              <w:rPr>
                <w:sz w:val="22"/>
                <w:lang w:val="en-GB"/>
              </w:rPr>
              <w:t>only</w:t>
            </w:r>
            <w:r w:rsidRPr="00093F2E">
              <w:rPr>
                <w:sz w:val="22"/>
                <w:lang w:val="en-GB"/>
              </w:rPr>
              <w:t xml:space="preserve"> as a permitted land use.</w:t>
            </w:r>
          </w:p>
          <w:p w:rsidR="00AB059F" w:rsidRPr="00093F2E" w:rsidRDefault="00AB059F" w:rsidP="00AB059F">
            <w:pPr>
              <w:rPr>
                <w:color w:val="000000"/>
                <w:sz w:val="22"/>
              </w:rPr>
            </w:pPr>
            <w:r w:rsidRPr="00093F2E">
              <w:rPr>
                <w:sz w:val="22"/>
                <w:lang w:val="en-GB"/>
              </w:rPr>
              <w:t xml:space="preserve"> </w:t>
            </w:r>
          </w:p>
          <w:p w:rsidR="00AB059F" w:rsidRPr="00093F2E" w:rsidRDefault="00AB059F" w:rsidP="00AB059F">
            <w:pPr>
              <w:rPr>
                <w:color w:val="000000"/>
                <w:sz w:val="22"/>
              </w:rPr>
            </w:pPr>
            <w:r w:rsidRPr="00093F2E">
              <w:rPr>
                <w:color w:val="000000"/>
                <w:sz w:val="22"/>
              </w:rPr>
              <w:t>The construction of a new fence is at the discretion of the new owner. Approval for fencing would need to be sought from the relevant authority.</w:t>
            </w:r>
          </w:p>
          <w:p w:rsidR="00AB059F" w:rsidRPr="00093F2E" w:rsidRDefault="00AB059F" w:rsidP="00AB059F">
            <w:pPr>
              <w:rPr>
                <w:bCs/>
                <w:sz w:val="22"/>
              </w:rPr>
            </w:pPr>
          </w:p>
          <w:p w:rsidR="00AB059F" w:rsidRPr="00513513" w:rsidRDefault="00AB059F" w:rsidP="00AB059F">
            <w:pPr>
              <w:rPr>
                <w:color w:val="000000"/>
                <w:sz w:val="22"/>
              </w:rPr>
            </w:pPr>
            <w:r w:rsidRPr="00513513">
              <w:rPr>
                <w:sz w:val="22"/>
              </w:rPr>
              <w:t xml:space="preserve">The erection of interpretive signage is at the discretion of the new owners. Approvals for signage structures would need to be sought where necessary. Opening the property for public viewing is at the discretion of the new owners. </w:t>
            </w:r>
          </w:p>
        </w:tc>
      </w:tr>
      <w:tr w:rsidR="00AB059F" w:rsidRPr="000D32E3" w:rsidTr="00F57B95">
        <w:trPr>
          <w:trHeight w:val="1043"/>
        </w:trPr>
        <w:tc>
          <w:tcPr>
            <w:tcW w:w="2130" w:type="dxa"/>
          </w:tcPr>
          <w:p w:rsidR="00AB059F" w:rsidRPr="00000435" w:rsidRDefault="00AB059F" w:rsidP="00AB059F">
            <w:pPr>
              <w:rPr>
                <w:sz w:val="22"/>
                <w:highlight w:val="yellow"/>
              </w:rPr>
            </w:pPr>
            <w:r w:rsidRPr="000B7662">
              <w:rPr>
                <w:sz w:val="22"/>
              </w:rPr>
              <w:lastRenderedPageBreak/>
              <w:t>4</w:t>
            </w:r>
          </w:p>
        </w:tc>
        <w:tc>
          <w:tcPr>
            <w:tcW w:w="2130" w:type="dxa"/>
          </w:tcPr>
          <w:p w:rsidR="00AB059F" w:rsidRPr="00000435" w:rsidRDefault="00AB059F" w:rsidP="00AB059F">
            <w:pPr>
              <w:rPr>
                <w:sz w:val="22"/>
                <w:highlight w:val="yellow"/>
              </w:rPr>
            </w:pPr>
            <w:r w:rsidRPr="00954C37">
              <w:rPr>
                <w:sz w:val="22"/>
              </w:rPr>
              <w:t>Anne Forrest</w:t>
            </w:r>
          </w:p>
        </w:tc>
        <w:tc>
          <w:tcPr>
            <w:tcW w:w="4674" w:type="dxa"/>
          </w:tcPr>
          <w:p w:rsidR="00AB059F" w:rsidRDefault="00AB059F" w:rsidP="00AB059F">
            <w:pPr>
              <w:rPr>
                <w:color w:val="000000"/>
                <w:sz w:val="22"/>
              </w:rPr>
            </w:pPr>
            <w:r w:rsidRPr="00252D2D">
              <w:rPr>
                <w:color w:val="000000"/>
                <w:sz w:val="22"/>
              </w:rPr>
              <w:t>Querie</w:t>
            </w:r>
            <w:r>
              <w:rPr>
                <w:color w:val="000000"/>
                <w:sz w:val="22"/>
              </w:rPr>
              <w:t xml:space="preserve">d the </w:t>
            </w:r>
            <w:r w:rsidRPr="00252D2D">
              <w:rPr>
                <w:color w:val="000000"/>
                <w:sz w:val="22"/>
              </w:rPr>
              <w:t>terms of sale. Question</w:t>
            </w:r>
            <w:r>
              <w:rPr>
                <w:color w:val="000000"/>
                <w:sz w:val="22"/>
              </w:rPr>
              <w:t>ed</w:t>
            </w:r>
            <w:r w:rsidRPr="00252D2D">
              <w:rPr>
                <w:color w:val="000000"/>
                <w:sz w:val="22"/>
              </w:rPr>
              <w:t xml:space="preserve"> if the heritage values of the site identified in the Conservation Management Plan were legally binding in the condition of sale. Questions if measures have been taken at a local level to ensure heritage protection should the property </w:t>
            </w:r>
            <w:r w:rsidRPr="00252D2D">
              <w:rPr>
                <w:color w:val="000000"/>
                <w:sz w:val="22"/>
              </w:rPr>
              <w:lastRenderedPageBreak/>
              <w:t>no longer be covered by the Environmental Protection and Biodiversity Conservation Act (EPBC).</w:t>
            </w:r>
          </w:p>
          <w:p w:rsidR="00AB059F" w:rsidRDefault="00AB059F" w:rsidP="00AB059F">
            <w:pPr>
              <w:rPr>
                <w:color w:val="000000"/>
                <w:sz w:val="22"/>
              </w:rPr>
            </w:pPr>
          </w:p>
          <w:p w:rsidR="00AB059F" w:rsidRDefault="00AB059F" w:rsidP="00AB059F">
            <w:pPr>
              <w:rPr>
                <w:color w:val="000000"/>
                <w:sz w:val="22"/>
              </w:rPr>
            </w:pPr>
          </w:p>
          <w:p w:rsidR="00AB059F" w:rsidRDefault="00AB059F" w:rsidP="00AB059F">
            <w:pPr>
              <w:rPr>
                <w:color w:val="000000"/>
                <w:sz w:val="22"/>
              </w:rPr>
            </w:pPr>
          </w:p>
          <w:p w:rsidR="00AB059F" w:rsidRPr="00252D2D" w:rsidRDefault="00AB059F" w:rsidP="00AB059F">
            <w:pPr>
              <w:rPr>
                <w:sz w:val="22"/>
                <w:highlight w:val="yellow"/>
              </w:rPr>
            </w:pPr>
          </w:p>
        </w:tc>
        <w:tc>
          <w:tcPr>
            <w:tcW w:w="4674" w:type="dxa"/>
          </w:tcPr>
          <w:p w:rsidR="00AB059F" w:rsidRPr="000D32E3" w:rsidRDefault="00AB059F" w:rsidP="00AB059F">
            <w:pPr>
              <w:rPr>
                <w:sz w:val="22"/>
                <w:lang w:val="en-GB"/>
              </w:rPr>
            </w:pPr>
            <w:r w:rsidRPr="000D32E3">
              <w:rPr>
                <w:sz w:val="22"/>
                <w:lang w:val="en-GB"/>
              </w:rPr>
              <w:lastRenderedPageBreak/>
              <w:t>The view of the NCA in relation to future use of Westridge House was disclosed to all potential bidders before the auction occurred. This occurred by way of an official statement from the NCA whi</w:t>
            </w:r>
            <w:r>
              <w:rPr>
                <w:sz w:val="22"/>
                <w:lang w:val="en-GB"/>
              </w:rPr>
              <w:t>ch was included in all pre-sale</w:t>
            </w:r>
            <w:r w:rsidRPr="000D32E3">
              <w:rPr>
                <w:sz w:val="22"/>
                <w:lang w:val="en-GB"/>
              </w:rPr>
              <w:t xml:space="preserve"> documentation.</w:t>
            </w:r>
          </w:p>
          <w:p w:rsidR="00AB059F" w:rsidRPr="000D32E3" w:rsidRDefault="00AB059F" w:rsidP="00AB059F">
            <w:pPr>
              <w:rPr>
                <w:sz w:val="22"/>
                <w:lang w:val="en-GB"/>
              </w:rPr>
            </w:pPr>
            <w:r w:rsidRPr="000D32E3">
              <w:rPr>
                <w:sz w:val="22"/>
                <w:lang w:val="en-GB"/>
              </w:rPr>
              <w:lastRenderedPageBreak/>
              <w:t>The board of the NCA considered its position on the future use of Westrid</w:t>
            </w:r>
            <w:r>
              <w:rPr>
                <w:sz w:val="22"/>
                <w:lang w:val="en-GB"/>
              </w:rPr>
              <w:t>ge House as soon as the NCA was</w:t>
            </w:r>
            <w:r w:rsidRPr="000D32E3">
              <w:rPr>
                <w:sz w:val="22"/>
                <w:lang w:val="en-GB"/>
              </w:rPr>
              <w:t xml:space="preserve"> advised that the </w:t>
            </w:r>
            <w:r>
              <w:rPr>
                <w:sz w:val="22"/>
                <w:lang w:val="en-GB"/>
              </w:rPr>
              <w:t>Australian Government</w:t>
            </w:r>
            <w:r w:rsidRPr="000D32E3">
              <w:rPr>
                <w:sz w:val="22"/>
                <w:lang w:val="en-GB"/>
              </w:rPr>
              <w:t xml:space="preserve"> was likely to dispose of it. This occurred in October 2009.</w:t>
            </w:r>
          </w:p>
          <w:p w:rsidR="00AB059F" w:rsidRPr="000D32E3" w:rsidRDefault="00AB059F" w:rsidP="00AB059F">
            <w:pPr>
              <w:rPr>
                <w:color w:val="000000"/>
                <w:sz w:val="22"/>
              </w:rPr>
            </w:pPr>
            <w:r w:rsidRPr="000D32E3">
              <w:rPr>
                <w:sz w:val="22"/>
                <w:lang w:val="en-GB"/>
              </w:rPr>
              <w:t xml:space="preserve">The NCA formed the view that the most important thing was to maximise the heritage protection offered for Westridge House. In the NCA's opinion, the greatest level of heritage protection would result from the block retaining </w:t>
            </w:r>
            <w:smartTag w:uri="urn:schemas-microsoft-com:office:smarttags" w:element="City">
              <w:smartTag w:uri="urn:schemas-microsoft-com:office:smarttags" w:element="City">
                <w:r w:rsidRPr="000D32E3">
                  <w:rPr>
                    <w:sz w:val="22"/>
                    <w:lang w:val="en-GB"/>
                  </w:rPr>
                  <w:t>National</w:t>
                </w:r>
              </w:smartTag>
              <w:r w:rsidRPr="000D32E3">
                <w:rPr>
                  <w:sz w:val="22"/>
                  <w:lang w:val="en-GB"/>
                </w:rPr>
                <w:t xml:space="preserve"> </w:t>
              </w:r>
              <w:smartTag w:uri="urn:schemas-microsoft-com:office:smarttags" w:element="City">
                <w:r w:rsidRPr="000D32E3">
                  <w:rPr>
                    <w:sz w:val="22"/>
                    <w:lang w:val="en-GB"/>
                  </w:rPr>
                  <w:t>Land</w:t>
                </w:r>
              </w:smartTag>
            </w:smartTag>
            <w:r w:rsidRPr="000D32E3">
              <w:rPr>
                <w:sz w:val="22"/>
                <w:lang w:val="en-GB"/>
              </w:rPr>
              <w:t xml:space="preserve"> status as this invokes full EPBC Act protection.</w:t>
            </w:r>
            <w:r w:rsidRPr="000D32E3">
              <w:rPr>
                <w:color w:val="000000"/>
                <w:sz w:val="22"/>
              </w:rPr>
              <w:t xml:space="preserve"> </w:t>
            </w:r>
            <w:r w:rsidRPr="00000435">
              <w:rPr>
                <w:highlight w:val="yellow"/>
              </w:rPr>
              <w:br/>
            </w:r>
          </w:p>
        </w:tc>
      </w:tr>
      <w:tr w:rsidR="00AB059F" w:rsidRPr="00000435" w:rsidTr="00AB059F">
        <w:trPr>
          <w:trHeight w:val="1569"/>
        </w:trPr>
        <w:tc>
          <w:tcPr>
            <w:tcW w:w="2130" w:type="dxa"/>
            <w:shd w:val="clear" w:color="auto" w:fill="F3F3F3"/>
          </w:tcPr>
          <w:p w:rsidR="00AB059F" w:rsidRPr="000B7662" w:rsidRDefault="00AB059F" w:rsidP="00AB059F">
            <w:pPr>
              <w:rPr>
                <w:sz w:val="22"/>
              </w:rPr>
            </w:pPr>
            <w:r>
              <w:rPr>
                <w:sz w:val="22"/>
              </w:rPr>
              <w:lastRenderedPageBreak/>
              <w:t>5</w:t>
            </w:r>
          </w:p>
        </w:tc>
        <w:tc>
          <w:tcPr>
            <w:tcW w:w="2130" w:type="dxa"/>
            <w:shd w:val="clear" w:color="auto" w:fill="F3F3F3"/>
          </w:tcPr>
          <w:p w:rsidR="00AB059F" w:rsidRPr="00954C37" w:rsidRDefault="00AB059F" w:rsidP="00AB059F">
            <w:pPr>
              <w:rPr>
                <w:sz w:val="22"/>
              </w:rPr>
            </w:pPr>
            <w:r w:rsidRPr="00954C37">
              <w:rPr>
                <w:sz w:val="22"/>
              </w:rPr>
              <w:t>ACT Planning and Land Authority</w:t>
            </w:r>
          </w:p>
          <w:p w:rsidR="00AB059F" w:rsidRPr="00954C37" w:rsidRDefault="00AB059F" w:rsidP="00AB059F">
            <w:pPr>
              <w:rPr>
                <w:sz w:val="22"/>
              </w:rPr>
            </w:pPr>
            <w:r w:rsidRPr="00954C37">
              <w:rPr>
                <w:sz w:val="22"/>
              </w:rPr>
              <w:t xml:space="preserve">GPO </w:t>
            </w:r>
            <w:smartTag w:uri="urn:schemas-microsoft-com:office:smarttags" w:element="City">
              <w:smartTag w:uri="urn:schemas-microsoft-com:office:smarttags" w:element="City">
                <w:r w:rsidRPr="00954C37">
                  <w:rPr>
                    <w:sz w:val="22"/>
                  </w:rPr>
                  <w:t>Box</w:t>
                </w:r>
              </w:smartTag>
              <w:r w:rsidRPr="00954C37">
                <w:rPr>
                  <w:sz w:val="22"/>
                </w:rPr>
                <w:t xml:space="preserve"> 373</w:t>
              </w:r>
            </w:smartTag>
          </w:p>
          <w:p w:rsidR="00AB059F" w:rsidRPr="00000435" w:rsidRDefault="00AB059F" w:rsidP="00AB059F">
            <w:pPr>
              <w:rPr>
                <w:sz w:val="22"/>
                <w:highlight w:val="yellow"/>
              </w:rPr>
            </w:pPr>
            <w:smartTag w:uri="urn:schemas-microsoft-com:office:smarttags" w:element="City">
              <w:r w:rsidRPr="00954C37">
                <w:rPr>
                  <w:sz w:val="22"/>
                </w:rPr>
                <w:t>Canberra</w:t>
              </w:r>
            </w:smartTag>
            <w:r w:rsidRPr="00954C37">
              <w:rPr>
                <w:sz w:val="22"/>
              </w:rPr>
              <w:t xml:space="preserve"> ACT 2601</w:t>
            </w:r>
          </w:p>
        </w:tc>
        <w:tc>
          <w:tcPr>
            <w:tcW w:w="4674" w:type="dxa"/>
            <w:shd w:val="clear" w:color="auto" w:fill="F3F3F3"/>
          </w:tcPr>
          <w:p w:rsidR="00AB059F" w:rsidRPr="00AB059F" w:rsidRDefault="00AB059F" w:rsidP="00AB059F">
            <w:pPr>
              <w:rPr>
                <w:sz w:val="22"/>
                <w:highlight w:val="yellow"/>
              </w:rPr>
            </w:pPr>
            <w:r w:rsidRPr="00252D2D">
              <w:rPr>
                <w:color w:val="000000"/>
                <w:sz w:val="22"/>
              </w:rPr>
              <w:t xml:space="preserve">The ACT </w:t>
            </w:r>
            <w:r>
              <w:rPr>
                <w:color w:val="000000"/>
                <w:sz w:val="22"/>
              </w:rPr>
              <w:t>Planning and Land Authority has</w:t>
            </w:r>
            <w:r w:rsidRPr="00252D2D">
              <w:rPr>
                <w:color w:val="000000"/>
                <w:sz w:val="22"/>
              </w:rPr>
              <w:t xml:space="preserve"> no objection to the proposed amendment and note</w:t>
            </w:r>
            <w:r>
              <w:rPr>
                <w:color w:val="000000"/>
                <w:sz w:val="22"/>
              </w:rPr>
              <w:t>s</w:t>
            </w:r>
            <w:r w:rsidRPr="00252D2D">
              <w:rPr>
                <w:color w:val="000000"/>
                <w:sz w:val="22"/>
              </w:rPr>
              <w:t xml:space="preserve"> that the block has been nominated for provisional registration on the ACT Heritage Register under the name ‘Tudor House’.</w:t>
            </w:r>
          </w:p>
        </w:tc>
        <w:tc>
          <w:tcPr>
            <w:tcW w:w="4674" w:type="dxa"/>
            <w:shd w:val="clear" w:color="auto" w:fill="F3F3F3"/>
          </w:tcPr>
          <w:p w:rsidR="00AB059F" w:rsidRDefault="00AB059F" w:rsidP="00AB059F">
            <w:pPr>
              <w:rPr>
                <w:sz w:val="22"/>
              </w:rPr>
            </w:pPr>
            <w:r>
              <w:rPr>
                <w:sz w:val="22"/>
              </w:rPr>
              <w:t>Noted.</w:t>
            </w:r>
          </w:p>
          <w:p w:rsidR="00AB059F" w:rsidRDefault="00AB059F" w:rsidP="00AB059F">
            <w:pPr>
              <w:rPr>
                <w:sz w:val="22"/>
              </w:rPr>
            </w:pPr>
          </w:p>
          <w:p w:rsidR="00AB059F" w:rsidRDefault="00AB059F" w:rsidP="00AB059F">
            <w:pPr>
              <w:rPr>
                <w:sz w:val="22"/>
              </w:rPr>
            </w:pPr>
          </w:p>
          <w:p w:rsidR="00AB059F" w:rsidRDefault="00AB059F" w:rsidP="00AB059F">
            <w:pPr>
              <w:rPr>
                <w:sz w:val="22"/>
              </w:rPr>
            </w:pPr>
          </w:p>
          <w:p w:rsidR="00AB059F" w:rsidRDefault="00AB059F" w:rsidP="00AB059F">
            <w:pPr>
              <w:rPr>
                <w:sz w:val="22"/>
              </w:rPr>
            </w:pPr>
          </w:p>
          <w:p w:rsidR="00AB059F" w:rsidRPr="00000435" w:rsidRDefault="00AB059F" w:rsidP="00AB059F">
            <w:pPr>
              <w:rPr>
                <w:sz w:val="22"/>
                <w:highlight w:val="yellow"/>
              </w:rPr>
            </w:pPr>
          </w:p>
        </w:tc>
      </w:tr>
      <w:tr w:rsidR="00AB059F" w:rsidRPr="00000435" w:rsidTr="00F57B95">
        <w:trPr>
          <w:trHeight w:val="255"/>
        </w:trPr>
        <w:tc>
          <w:tcPr>
            <w:tcW w:w="2130" w:type="dxa"/>
          </w:tcPr>
          <w:p w:rsidR="00AB059F" w:rsidRDefault="00AB059F" w:rsidP="00AB059F">
            <w:pPr>
              <w:rPr>
                <w:sz w:val="22"/>
              </w:rPr>
            </w:pPr>
            <w:r>
              <w:rPr>
                <w:sz w:val="22"/>
              </w:rPr>
              <w:t>6</w:t>
            </w:r>
          </w:p>
        </w:tc>
        <w:tc>
          <w:tcPr>
            <w:tcW w:w="2130" w:type="dxa"/>
          </w:tcPr>
          <w:p w:rsidR="00AB059F" w:rsidRPr="00117780" w:rsidRDefault="00AB059F" w:rsidP="00AB059F">
            <w:pPr>
              <w:rPr>
                <w:sz w:val="22"/>
              </w:rPr>
            </w:pPr>
            <w:r w:rsidRPr="00117780">
              <w:rPr>
                <w:sz w:val="22"/>
              </w:rPr>
              <w:t>SEWPAC</w:t>
            </w:r>
          </w:p>
        </w:tc>
        <w:tc>
          <w:tcPr>
            <w:tcW w:w="4674" w:type="dxa"/>
          </w:tcPr>
          <w:p w:rsidR="00AB059F" w:rsidRPr="00AB059F" w:rsidRDefault="00AB059F" w:rsidP="00AB059F">
            <w:pPr>
              <w:rPr>
                <w:color w:val="000000"/>
                <w:sz w:val="22"/>
              </w:rPr>
            </w:pPr>
            <w:r w:rsidRPr="00117780">
              <w:rPr>
                <w:color w:val="000000"/>
                <w:sz w:val="22"/>
              </w:rPr>
              <w:t>Supports the proposed change of land use. Considers it consistent with the original intent of the building as a private residence and</w:t>
            </w:r>
            <w:r>
              <w:rPr>
                <w:color w:val="000000"/>
                <w:sz w:val="22"/>
              </w:rPr>
              <w:t xml:space="preserve"> is compliant with Commonwealth h</w:t>
            </w:r>
            <w:r w:rsidRPr="00117780">
              <w:rPr>
                <w:color w:val="000000"/>
                <w:sz w:val="22"/>
              </w:rPr>
              <w:t xml:space="preserve">eritage values. </w:t>
            </w:r>
          </w:p>
        </w:tc>
        <w:tc>
          <w:tcPr>
            <w:tcW w:w="4674" w:type="dxa"/>
          </w:tcPr>
          <w:p w:rsidR="00AB059F" w:rsidRPr="00000435" w:rsidRDefault="00AB059F" w:rsidP="00AB059F">
            <w:pPr>
              <w:rPr>
                <w:sz w:val="22"/>
                <w:highlight w:val="yellow"/>
              </w:rPr>
            </w:pPr>
            <w:r>
              <w:rPr>
                <w:sz w:val="22"/>
              </w:rPr>
              <w:t>Noted.</w:t>
            </w:r>
            <w:r w:rsidRPr="00E77E5A">
              <w:rPr>
                <w:sz w:val="22"/>
              </w:rPr>
              <w:t xml:space="preserve"> </w:t>
            </w:r>
          </w:p>
        </w:tc>
      </w:tr>
      <w:tr w:rsidR="00AB059F" w:rsidRPr="00000435" w:rsidTr="00F57B95">
        <w:trPr>
          <w:trHeight w:val="255"/>
        </w:trPr>
        <w:tc>
          <w:tcPr>
            <w:tcW w:w="2130" w:type="dxa"/>
            <w:shd w:val="clear" w:color="auto" w:fill="F3F3F3"/>
          </w:tcPr>
          <w:p w:rsidR="00AB059F" w:rsidRDefault="00AB059F" w:rsidP="00AB059F">
            <w:pPr>
              <w:rPr>
                <w:sz w:val="22"/>
              </w:rPr>
            </w:pPr>
            <w:r>
              <w:rPr>
                <w:sz w:val="22"/>
              </w:rPr>
              <w:t>7</w:t>
            </w:r>
          </w:p>
        </w:tc>
        <w:tc>
          <w:tcPr>
            <w:tcW w:w="2130" w:type="dxa"/>
            <w:shd w:val="clear" w:color="auto" w:fill="F3F3F3"/>
          </w:tcPr>
          <w:p w:rsidR="00AB059F" w:rsidRDefault="00AB059F" w:rsidP="00AB059F">
            <w:pPr>
              <w:rPr>
                <w:sz w:val="22"/>
              </w:rPr>
            </w:pPr>
          </w:p>
        </w:tc>
        <w:tc>
          <w:tcPr>
            <w:tcW w:w="4674" w:type="dxa"/>
            <w:shd w:val="clear" w:color="auto" w:fill="F3F3F3"/>
          </w:tcPr>
          <w:p w:rsidR="00AB059F" w:rsidRPr="00A36264" w:rsidRDefault="00AB059F" w:rsidP="00AB059F">
            <w:pPr>
              <w:rPr>
                <w:color w:val="000000"/>
                <w:sz w:val="22"/>
              </w:rPr>
            </w:pPr>
            <w:r w:rsidRPr="00A36264">
              <w:rPr>
                <w:color w:val="000000"/>
                <w:sz w:val="22"/>
              </w:rPr>
              <w:t xml:space="preserve">Concern was expressed that in future years the block might have the potential to be rezoned </w:t>
            </w:r>
            <w:r w:rsidRPr="00A36264">
              <w:rPr>
                <w:color w:val="000000"/>
                <w:sz w:val="22"/>
              </w:rPr>
              <w:lastRenderedPageBreak/>
              <w:t>into multi-occupancy, affecting the heritage values of the site.</w:t>
            </w:r>
          </w:p>
          <w:p w:rsidR="00AB059F" w:rsidRDefault="00AB059F" w:rsidP="00AB059F">
            <w:pPr>
              <w:rPr>
                <w:color w:val="000000"/>
                <w:sz w:val="22"/>
              </w:rPr>
            </w:pPr>
            <w:r>
              <w:rPr>
                <w:color w:val="000000"/>
                <w:sz w:val="22"/>
              </w:rPr>
              <w:t>Submission perceived</w:t>
            </w:r>
            <w:r w:rsidRPr="00A36264">
              <w:rPr>
                <w:color w:val="000000"/>
                <w:sz w:val="22"/>
              </w:rPr>
              <w:t xml:space="preserve"> Westridge House as an important example of early 20</w:t>
            </w:r>
            <w:r w:rsidRPr="00A36264">
              <w:rPr>
                <w:color w:val="000000"/>
                <w:sz w:val="22"/>
                <w:vertAlign w:val="superscript"/>
              </w:rPr>
              <w:t>th</w:t>
            </w:r>
            <w:r w:rsidRPr="00A36264">
              <w:rPr>
                <w:color w:val="000000"/>
                <w:sz w:val="22"/>
              </w:rPr>
              <w:t xml:space="preserve"> century residential architec</w:t>
            </w:r>
            <w:r>
              <w:rPr>
                <w:color w:val="000000"/>
                <w:sz w:val="22"/>
              </w:rPr>
              <w:t>ture and considered</w:t>
            </w:r>
            <w:r w:rsidRPr="00A36264">
              <w:rPr>
                <w:color w:val="000000"/>
                <w:sz w:val="22"/>
              </w:rPr>
              <w:t xml:space="preserve"> this important aspect </w:t>
            </w:r>
            <w:r>
              <w:rPr>
                <w:color w:val="000000"/>
                <w:sz w:val="22"/>
              </w:rPr>
              <w:t>warrants</w:t>
            </w:r>
            <w:r w:rsidRPr="00A36264">
              <w:rPr>
                <w:color w:val="000000"/>
                <w:sz w:val="22"/>
              </w:rPr>
              <w:t xml:space="preserve"> public access to the block at least once or twice a year, similar to that of The Lodge and Government House.</w:t>
            </w:r>
          </w:p>
          <w:p w:rsidR="00AB059F" w:rsidRDefault="00AB059F" w:rsidP="00AB059F">
            <w:pPr>
              <w:rPr>
                <w:color w:val="000000"/>
                <w:sz w:val="22"/>
              </w:rPr>
            </w:pPr>
            <w:r w:rsidRPr="00A36264">
              <w:rPr>
                <w:color w:val="000000"/>
                <w:sz w:val="22"/>
              </w:rPr>
              <w:t xml:space="preserve">Submission considers it important that an information board be established outside the grounds of Westridge House to inform the public of the site’s history and points of interest. </w:t>
            </w:r>
          </w:p>
          <w:p w:rsidR="00AB059F" w:rsidRPr="00A36264" w:rsidRDefault="00AB059F" w:rsidP="00AB059F">
            <w:pPr>
              <w:rPr>
                <w:color w:val="000000"/>
                <w:sz w:val="22"/>
              </w:rPr>
            </w:pPr>
            <w:r w:rsidRPr="00A36264">
              <w:rPr>
                <w:color w:val="000000"/>
                <w:sz w:val="22"/>
              </w:rPr>
              <w:t xml:space="preserve">Submission raised concern over part of the block which is used as a walking track by Yarralumla residents. Wants a clause in the amendment so owner can’t place fence and ruin the recreation of the area from other Yarralumla residents. </w:t>
            </w:r>
          </w:p>
          <w:p w:rsidR="00AB059F" w:rsidRPr="00A36264" w:rsidRDefault="00AB059F" w:rsidP="00AB059F">
            <w:pPr>
              <w:rPr>
                <w:color w:val="000000"/>
                <w:sz w:val="22"/>
              </w:rPr>
            </w:pPr>
            <w:r w:rsidRPr="00A36264">
              <w:rPr>
                <w:color w:val="000000"/>
                <w:sz w:val="22"/>
              </w:rPr>
              <w:t xml:space="preserve">Submission displays angst in the form of the agreed terms of sale. Submitter perceives that the site was sold by the real estate as advertised as a community facility and not single dwelling housing. Submission also considers the auction price was not value for money for its location and size in Yarralumla and that the Commonwealth undervalued its real asset worth.  </w:t>
            </w:r>
          </w:p>
          <w:p w:rsidR="00AB059F" w:rsidRPr="00A36264" w:rsidRDefault="00AB059F" w:rsidP="00AB059F">
            <w:pPr>
              <w:rPr>
                <w:sz w:val="22"/>
                <w:highlight w:val="yellow"/>
              </w:rPr>
            </w:pPr>
          </w:p>
        </w:tc>
        <w:tc>
          <w:tcPr>
            <w:tcW w:w="4674" w:type="dxa"/>
            <w:shd w:val="clear" w:color="auto" w:fill="F3F3F3"/>
          </w:tcPr>
          <w:p w:rsidR="00AB059F" w:rsidRPr="000D32E3" w:rsidRDefault="00AB059F" w:rsidP="00AB059F">
            <w:pPr>
              <w:rPr>
                <w:color w:val="000000"/>
                <w:sz w:val="22"/>
              </w:rPr>
            </w:pPr>
            <w:r w:rsidRPr="000D32E3">
              <w:rPr>
                <w:sz w:val="22"/>
                <w:lang w:val="en-GB"/>
              </w:rPr>
              <w:lastRenderedPageBreak/>
              <w:t xml:space="preserve">The NCA agreed that it was willing to </w:t>
            </w:r>
            <w:r w:rsidRPr="000D32E3">
              <w:rPr>
                <w:iCs/>
                <w:sz w:val="22"/>
                <w:lang w:val="en-GB"/>
              </w:rPr>
              <w:t>propose</w:t>
            </w:r>
            <w:r w:rsidRPr="000D32E3">
              <w:rPr>
                <w:sz w:val="22"/>
                <w:lang w:val="en-GB"/>
              </w:rPr>
              <w:t xml:space="preserve"> an amendment to the Plan to allow single </w:t>
            </w:r>
            <w:r w:rsidRPr="000D32E3">
              <w:rPr>
                <w:sz w:val="22"/>
                <w:lang w:val="en-GB"/>
              </w:rPr>
              <w:lastRenderedPageBreak/>
              <w:t xml:space="preserve">residential </w:t>
            </w:r>
            <w:r w:rsidRPr="00766178">
              <w:rPr>
                <w:sz w:val="22"/>
                <w:lang w:val="en-GB"/>
              </w:rPr>
              <w:t>only</w:t>
            </w:r>
            <w:r w:rsidRPr="000D32E3">
              <w:rPr>
                <w:sz w:val="22"/>
                <w:lang w:val="en-GB"/>
              </w:rPr>
              <w:t xml:space="preserve"> as a permitted land use. </w:t>
            </w:r>
          </w:p>
          <w:p w:rsidR="00AB059F" w:rsidRPr="000D32E3" w:rsidRDefault="00AB059F" w:rsidP="00AB059F">
            <w:pPr>
              <w:rPr>
                <w:sz w:val="22"/>
              </w:rPr>
            </w:pPr>
          </w:p>
          <w:p w:rsidR="00AB059F" w:rsidRPr="000D32E3" w:rsidRDefault="00AB059F" w:rsidP="00AB059F">
            <w:pPr>
              <w:rPr>
                <w:color w:val="000000"/>
                <w:sz w:val="22"/>
              </w:rPr>
            </w:pPr>
            <w:r w:rsidRPr="000D32E3">
              <w:rPr>
                <w:color w:val="000000"/>
                <w:sz w:val="22"/>
              </w:rPr>
              <w:t xml:space="preserve">Opening the property for public viewing is at the discretion of the new owners. </w:t>
            </w:r>
          </w:p>
          <w:p w:rsidR="00AB059F" w:rsidRPr="000D32E3" w:rsidRDefault="00AB059F" w:rsidP="00AB059F">
            <w:pPr>
              <w:rPr>
                <w:sz w:val="22"/>
              </w:rPr>
            </w:pPr>
          </w:p>
          <w:p w:rsidR="00AB059F" w:rsidRDefault="00AB059F" w:rsidP="00AB059F">
            <w:pPr>
              <w:rPr>
                <w:color w:val="000000"/>
                <w:sz w:val="22"/>
              </w:rPr>
            </w:pPr>
          </w:p>
          <w:p w:rsidR="00AB059F" w:rsidRDefault="00AB059F" w:rsidP="00AB059F">
            <w:pPr>
              <w:rPr>
                <w:color w:val="000000"/>
                <w:sz w:val="22"/>
              </w:rPr>
            </w:pPr>
          </w:p>
          <w:p w:rsidR="00AB059F" w:rsidRPr="000D32E3" w:rsidRDefault="00AB059F" w:rsidP="00AB059F">
            <w:pPr>
              <w:rPr>
                <w:color w:val="000000"/>
                <w:sz w:val="22"/>
              </w:rPr>
            </w:pPr>
            <w:r w:rsidRPr="000D32E3">
              <w:rPr>
                <w:color w:val="000000"/>
                <w:sz w:val="22"/>
              </w:rPr>
              <w:t>The erection of interpretive signage is at the discretion of the new owners. Approvals for signage structures would need to be sought where necessary.</w:t>
            </w:r>
          </w:p>
          <w:p w:rsidR="00AB059F" w:rsidRPr="000D32E3" w:rsidRDefault="00AB059F" w:rsidP="00AB059F">
            <w:pPr>
              <w:rPr>
                <w:color w:val="000000"/>
                <w:sz w:val="22"/>
              </w:rPr>
            </w:pPr>
            <w:r w:rsidRPr="000D32E3">
              <w:rPr>
                <w:color w:val="000000"/>
                <w:sz w:val="22"/>
              </w:rPr>
              <w:t>The construction of a new fence is at the discretion of the new owner. Approval for fencing would need to be sought from the relevant authority.</w:t>
            </w:r>
          </w:p>
          <w:p w:rsidR="00AB059F" w:rsidRPr="000D32E3" w:rsidRDefault="00AB059F" w:rsidP="00AB059F">
            <w:pPr>
              <w:rPr>
                <w:sz w:val="22"/>
              </w:rPr>
            </w:pPr>
          </w:p>
          <w:p w:rsidR="00AB059F" w:rsidRPr="000D32E3" w:rsidRDefault="00AB059F" w:rsidP="00AB059F">
            <w:pPr>
              <w:rPr>
                <w:sz w:val="22"/>
                <w:lang w:val="en-GB"/>
              </w:rPr>
            </w:pPr>
            <w:r w:rsidRPr="000D32E3">
              <w:rPr>
                <w:sz w:val="22"/>
                <w:lang w:val="en-GB"/>
              </w:rPr>
              <w:t>The view of the NCA in relation to future use of Westridge House was disclosed to all potential bidders before the auction occurred. This occurred by way of an official statement from the NCA whi</w:t>
            </w:r>
            <w:r>
              <w:rPr>
                <w:sz w:val="22"/>
                <w:lang w:val="en-GB"/>
              </w:rPr>
              <w:t>ch was included in all pre-sale</w:t>
            </w:r>
            <w:r w:rsidRPr="000D32E3">
              <w:rPr>
                <w:sz w:val="22"/>
                <w:lang w:val="en-GB"/>
              </w:rPr>
              <w:t xml:space="preserve"> documentation.</w:t>
            </w:r>
          </w:p>
          <w:p w:rsidR="00AB059F" w:rsidRPr="00AB059F" w:rsidRDefault="00AB059F" w:rsidP="00AB059F">
            <w:pPr>
              <w:rPr>
                <w:i/>
                <w:color w:val="000000"/>
                <w:sz w:val="22"/>
              </w:rPr>
            </w:pPr>
            <w:r w:rsidRPr="000D32E3">
              <w:rPr>
                <w:sz w:val="22"/>
                <w:lang w:val="en-GB"/>
              </w:rPr>
              <w:t>The board of the NCA considered its position on the future use of Westrid</w:t>
            </w:r>
            <w:r>
              <w:rPr>
                <w:sz w:val="22"/>
                <w:lang w:val="en-GB"/>
              </w:rPr>
              <w:t>ge House as soon as the NCA was</w:t>
            </w:r>
            <w:r w:rsidRPr="000D32E3">
              <w:rPr>
                <w:sz w:val="22"/>
                <w:lang w:val="en-GB"/>
              </w:rPr>
              <w:t xml:space="preserve"> advised that the </w:t>
            </w:r>
            <w:r>
              <w:rPr>
                <w:sz w:val="22"/>
                <w:lang w:val="en-GB"/>
              </w:rPr>
              <w:t xml:space="preserve">Australian </w:t>
            </w:r>
            <w:r>
              <w:rPr>
                <w:sz w:val="22"/>
                <w:lang w:val="en-GB"/>
              </w:rPr>
              <w:lastRenderedPageBreak/>
              <w:t xml:space="preserve">Government </w:t>
            </w:r>
            <w:r w:rsidRPr="000D32E3">
              <w:rPr>
                <w:sz w:val="22"/>
                <w:lang w:val="en-GB"/>
              </w:rPr>
              <w:t>was likely to dispose of it. This occurred in October 2009.</w:t>
            </w:r>
          </w:p>
        </w:tc>
      </w:tr>
      <w:bookmarkEnd w:id="19"/>
    </w:tbl>
    <w:p w:rsidR="00C108E6" w:rsidRDefault="00C108E6" w:rsidP="00AB059F"/>
    <w:p w:rsidR="00C108E6" w:rsidRDefault="00C108E6" w:rsidP="00AB059F">
      <w:pPr>
        <w:sectPr w:rsidR="00C108E6" w:rsidSect="00AB059F">
          <w:pgSz w:w="16838" w:h="11906" w:orient="landscape"/>
          <w:pgMar w:top="1797" w:right="1440" w:bottom="1797" w:left="1440" w:header="709" w:footer="709" w:gutter="0"/>
          <w:cols w:space="708"/>
          <w:docGrid w:linePitch="360"/>
        </w:sectPr>
      </w:pPr>
    </w:p>
    <w:p w:rsidR="00C108E6" w:rsidRDefault="00C108E6" w:rsidP="00C108E6">
      <w:pPr>
        <w:pStyle w:val="Heading2"/>
      </w:pPr>
      <w:bookmarkStart w:id="20" w:name="_Toc310928377"/>
      <w:r>
        <w:lastRenderedPageBreak/>
        <w:t>Attachment 5</w:t>
      </w:r>
      <w:bookmarkEnd w:id="20"/>
    </w:p>
    <w:p w:rsidR="0082056B" w:rsidRPr="00C108E6" w:rsidRDefault="0082056B" w:rsidP="0082056B">
      <w:pPr>
        <w:pStyle w:val="Heading1"/>
      </w:pPr>
      <w:r w:rsidRPr="00C108E6">
        <w:t>SCHEDULE 1</w:t>
      </w:r>
      <w:r w:rsidRPr="00C108E6">
        <w:tab/>
        <w:t>AMENDMENT</w:t>
      </w:r>
    </w:p>
    <w:p w:rsidR="0082056B" w:rsidRPr="00C108E6" w:rsidRDefault="0082056B" w:rsidP="0082056B">
      <w:r w:rsidRPr="00C108E6">
        <w:t>The National Capital Plan is amended by the following:</w:t>
      </w:r>
    </w:p>
    <w:p w:rsidR="0082056B" w:rsidRPr="00A21101" w:rsidRDefault="0082056B" w:rsidP="0082056B">
      <w:pPr>
        <w:pStyle w:val="Heading2"/>
      </w:pPr>
      <w:r w:rsidRPr="00A21101">
        <w:t>INTRODUCTION</w:t>
      </w:r>
    </w:p>
    <w:p w:rsidR="0082056B" w:rsidRPr="00A21101" w:rsidRDefault="0082056B" w:rsidP="0082056B">
      <w:pPr>
        <w:pStyle w:val="Heading3"/>
      </w:pPr>
      <w:r w:rsidRPr="00A21101">
        <w:t>PART ONE PRINCIPLES AND POLICIES</w:t>
      </w:r>
    </w:p>
    <w:p w:rsidR="0082056B" w:rsidRPr="00C108E6" w:rsidRDefault="0082056B" w:rsidP="0082056B">
      <w:r w:rsidRPr="00C108E6">
        <w:t>1 General Policy Plan – Chapter 1 The Central National Area</w:t>
      </w:r>
    </w:p>
    <w:p w:rsidR="0082056B" w:rsidRPr="00C108E6" w:rsidRDefault="0082056B" w:rsidP="0082056B">
      <w:pPr>
        <w:numPr>
          <w:ilvl w:val="0"/>
          <w:numId w:val="12"/>
        </w:numPr>
      </w:pPr>
      <w:r w:rsidRPr="00C108E6">
        <w:t>Add to section 1.2.3(e) a new permitted use in Lake Burley Griffin and Foreshores:</w:t>
      </w:r>
    </w:p>
    <w:p w:rsidR="0082056B" w:rsidRPr="00C108E6" w:rsidRDefault="0082056B" w:rsidP="0082056B">
      <w:pPr>
        <w:ind w:left="720"/>
      </w:pPr>
      <w:r w:rsidRPr="00C108E6">
        <w:t>Single Dwelling Housing (Block 6 Section 4 Yarralumla only)</w:t>
      </w:r>
    </w:p>
    <w:p w:rsidR="0082056B" w:rsidRDefault="0082056B" w:rsidP="0082056B">
      <w:pPr>
        <w:numPr>
          <w:ilvl w:val="0"/>
          <w:numId w:val="12"/>
        </w:numPr>
      </w:pPr>
      <w:r w:rsidRPr="00C108E6">
        <w:t xml:space="preserve">Amend the existing figure 17 The Central National Area (Lake Burley Griffin and Foreshores) with the following: </w:t>
      </w:r>
    </w:p>
    <w:p w:rsidR="0082056B" w:rsidRDefault="0082056B" w:rsidP="0082056B">
      <w:pPr>
        <w:ind w:left="720"/>
      </w:pPr>
      <w:r>
        <w:t xml:space="preserve">(new image of Figure 17, image can be found at: </w:t>
      </w:r>
      <w:hyperlink r:id="rId10" w:tooltip="Link to the National Capital Plan Figure 17" w:history="1">
        <w:r w:rsidRPr="00A21101">
          <w:rPr>
            <w:rStyle w:val="Hyperlink"/>
          </w:rPr>
          <w:t>http://www.nationalcapital.gov.au/downloads/planning_and_urban_design/NCP/ncp_images_maps_PDF/Fig17_A3.pdf</w:t>
        </w:r>
      </w:hyperlink>
      <w:r>
        <w:t>)</w:t>
      </w:r>
    </w:p>
    <w:p w:rsidR="0082056B" w:rsidRPr="00C108E6" w:rsidRDefault="0082056B" w:rsidP="0082056B">
      <w:pPr>
        <w:numPr>
          <w:ilvl w:val="0"/>
          <w:numId w:val="12"/>
        </w:numPr>
      </w:pPr>
      <w:r w:rsidRPr="00C108E6">
        <w:t>Add to Appendix A Land Use Definitions a new definition as follows:</w:t>
      </w:r>
    </w:p>
    <w:p w:rsidR="0082056B" w:rsidRPr="00246BE1" w:rsidRDefault="0082056B" w:rsidP="0082056B">
      <w:pPr>
        <w:ind w:left="720"/>
        <w:rPr>
          <w:b/>
        </w:rPr>
      </w:pPr>
      <w:r w:rsidRPr="00246BE1">
        <w:rPr>
          <w:b/>
        </w:rPr>
        <w:t>Single Dwelling Housing</w:t>
      </w:r>
    </w:p>
    <w:p w:rsidR="0082056B" w:rsidRPr="00C108E6" w:rsidRDefault="0082056B" w:rsidP="0082056B">
      <w:pPr>
        <w:ind w:left="720"/>
      </w:pPr>
      <w:r w:rsidRPr="00C108E6">
        <w:t>Means the use of the land for residential purposes for a single dwelling only.</w:t>
      </w:r>
    </w:p>
    <w:p w:rsidR="0082056B" w:rsidRPr="00C108E6" w:rsidRDefault="0082056B" w:rsidP="0082056B">
      <w:pPr>
        <w:pStyle w:val="Heading3"/>
      </w:pPr>
      <w:r w:rsidRPr="00C108E6">
        <w:t>PART TWO ADMINISTRATION AND IMPLEMENTATION</w:t>
      </w:r>
    </w:p>
    <w:p w:rsidR="0082056B" w:rsidRPr="00C108E6" w:rsidRDefault="0082056B" w:rsidP="0082056B">
      <w:pPr>
        <w:numPr>
          <w:ilvl w:val="0"/>
          <w:numId w:val="12"/>
        </w:numPr>
      </w:pPr>
      <w:r w:rsidRPr="00C108E6">
        <w:t xml:space="preserve">Amend the Plan to recognise consequential changes of Draft Amendment 73 to page numbers, section titles and contents page. </w:t>
      </w:r>
    </w:p>
    <w:p w:rsidR="0082056B" w:rsidRPr="00C108E6" w:rsidRDefault="0082056B" w:rsidP="0082056B">
      <w:pPr>
        <w:pStyle w:val="NoteHeading"/>
      </w:pPr>
      <w:r w:rsidRPr="00C108E6">
        <w:t>Note</w:t>
      </w:r>
    </w:p>
    <w:p w:rsidR="0082056B" w:rsidRDefault="0082056B" w:rsidP="0082056B">
      <w:r w:rsidRPr="00C108E6">
        <w:t>All legislative instruments and compilations are registered on the Federal Register of Legislative Instruments kept under the Legislative Instruments Act</w:t>
      </w:r>
      <w:r>
        <w:t xml:space="preserve"> 2003. See </w:t>
      </w:r>
      <w:hyperlink r:id="rId11" w:tooltip="Link to Federal Register of Legislative Instruments" w:history="1">
        <w:r w:rsidRPr="002D0524">
          <w:rPr>
            <w:rStyle w:val="Hyperlink"/>
          </w:rPr>
          <w:t>http://www.frli.gov.au</w:t>
        </w:r>
      </w:hyperlink>
    </w:p>
    <w:p w:rsidR="00AB059F" w:rsidRPr="00C108E6" w:rsidRDefault="00AB059F" w:rsidP="0082056B"/>
    <w:sectPr w:rsidR="00AB059F" w:rsidRPr="00C108E6" w:rsidSect="00C108E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25" w:rsidRDefault="00C03825">
      <w:r>
        <w:separator/>
      </w:r>
    </w:p>
  </w:endnote>
  <w:endnote w:type="continuationSeparator" w:id="0">
    <w:p w:rsidR="00C03825" w:rsidRDefault="00C0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47 CondensedLight">
    <w:panose1 w:val="00000000000000000000"/>
    <w:charset w:val="00"/>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C3" w:rsidRDefault="006C79C3" w:rsidP="00F57B9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C79C3" w:rsidRDefault="006C79C3" w:rsidP="0041786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C3" w:rsidRDefault="006C79C3" w:rsidP="00417862">
    <w:pPr>
      <w:rPr>
        <w:rStyle w:val="PageNumber"/>
      </w:rPr>
    </w:pPr>
    <w:r>
      <w:rPr>
        <w:rStyle w:val="PageNumber"/>
      </w:rPr>
      <w:fldChar w:fldCharType="begin"/>
    </w:r>
    <w:r>
      <w:rPr>
        <w:rStyle w:val="PageNumber"/>
      </w:rPr>
      <w:instrText xml:space="preserve">PAGE  </w:instrText>
    </w:r>
    <w:r>
      <w:rPr>
        <w:rStyle w:val="PageNumber"/>
      </w:rPr>
      <w:fldChar w:fldCharType="separate"/>
    </w:r>
    <w:r w:rsidR="009B6652">
      <w:rPr>
        <w:rStyle w:val="PageNumber"/>
        <w:noProof/>
      </w:rPr>
      <w:t>9</w:t>
    </w:r>
    <w:r>
      <w:rPr>
        <w:rStyle w:val="PageNumber"/>
      </w:rPr>
      <w:fldChar w:fldCharType="end"/>
    </w:r>
  </w:p>
  <w:p w:rsidR="006C79C3" w:rsidRDefault="006C79C3" w:rsidP="00417862">
    <w:pPr>
      <w:pStyle w:val="Footer"/>
      <w:ind w:right="360" w:firstLine="360"/>
    </w:pPr>
    <w:r>
      <w:t>Report on Consultation – Draft Amendment 73 (September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25" w:rsidRDefault="00C03825">
      <w:r>
        <w:separator/>
      </w:r>
    </w:p>
  </w:footnote>
  <w:footnote w:type="continuationSeparator" w:id="0">
    <w:p w:rsidR="00C03825" w:rsidRDefault="00C03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94D"/>
    <w:multiLevelType w:val="hybridMultilevel"/>
    <w:tmpl w:val="F9B8A04A"/>
    <w:lvl w:ilvl="0" w:tplc="91FACCB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2A25FE"/>
    <w:multiLevelType w:val="hybridMultilevel"/>
    <w:tmpl w:val="56B00C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E23141D"/>
    <w:multiLevelType w:val="hybridMultilevel"/>
    <w:tmpl w:val="DFB4B7D0"/>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15C150B4"/>
    <w:multiLevelType w:val="hybridMultilevel"/>
    <w:tmpl w:val="81B8ECAC"/>
    <w:lvl w:ilvl="0" w:tplc="5636B898">
      <w:start w:val="1"/>
      <w:numFmt w:val="bullet"/>
      <w:pStyle w:val="BodyText-Bullets"/>
      <w:lvlText w:val=""/>
      <w:lvlJc w:val="left"/>
      <w:pPr>
        <w:tabs>
          <w:tab w:val="num" w:pos="1647"/>
        </w:tabs>
        <w:ind w:left="1647" w:hanging="567"/>
      </w:pPr>
      <w:rPr>
        <w:rFonts w:ascii="Symbol" w:hAnsi="Symbol" w:hint="default"/>
        <w:sz w:val="16"/>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268A272E"/>
    <w:multiLevelType w:val="hybridMultilevel"/>
    <w:tmpl w:val="93C0A6E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74E1F5D"/>
    <w:multiLevelType w:val="hybridMultilevel"/>
    <w:tmpl w:val="CDACEC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B126254"/>
    <w:multiLevelType w:val="hybridMultilevel"/>
    <w:tmpl w:val="00E6AF0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0D9641A"/>
    <w:multiLevelType w:val="hybridMultilevel"/>
    <w:tmpl w:val="800E1A3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3CF4073"/>
    <w:multiLevelType w:val="hybridMultilevel"/>
    <w:tmpl w:val="15C6B6FA"/>
    <w:lvl w:ilvl="0" w:tplc="0C090001">
      <w:start w:val="1"/>
      <w:numFmt w:val="bullet"/>
      <w:lvlText w:val=""/>
      <w:lvlJc w:val="left"/>
      <w:pPr>
        <w:tabs>
          <w:tab w:val="num" w:pos="1080"/>
        </w:tabs>
        <w:ind w:left="1080" w:hanging="360"/>
      </w:pPr>
      <w:rPr>
        <w:rFonts w:ascii="Symbol" w:hAnsi="Symbol" w:hint="default"/>
      </w:rPr>
    </w:lvl>
    <w:lvl w:ilvl="1" w:tplc="0C09000B">
      <w:start w:val="1"/>
      <w:numFmt w:val="bullet"/>
      <w:lvlText w:val=""/>
      <w:lvlJc w:val="left"/>
      <w:pPr>
        <w:tabs>
          <w:tab w:val="num" w:pos="1800"/>
        </w:tabs>
        <w:ind w:left="1800" w:hanging="360"/>
      </w:pPr>
      <w:rPr>
        <w:rFonts w:ascii="Wingdings" w:hAnsi="Wingding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724E6619"/>
    <w:multiLevelType w:val="multilevel"/>
    <w:tmpl w:val="29DADE26"/>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69C14FF"/>
    <w:multiLevelType w:val="hybridMultilevel"/>
    <w:tmpl w:val="68BEC24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D991CEC"/>
    <w:multiLevelType w:val="multilevel"/>
    <w:tmpl w:val="6310F75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9"/>
  </w:num>
  <w:num w:numId="2">
    <w:abstractNumId w:val="8"/>
  </w:num>
  <w:num w:numId="3">
    <w:abstractNumId w:val="6"/>
  </w:num>
  <w:num w:numId="4">
    <w:abstractNumId w:val="10"/>
  </w:num>
  <w:num w:numId="5">
    <w:abstractNumId w:val="1"/>
  </w:num>
  <w:num w:numId="6">
    <w:abstractNumId w:val="4"/>
  </w:num>
  <w:num w:numId="7">
    <w:abstractNumId w:val="5"/>
  </w:num>
  <w:num w:numId="8">
    <w:abstractNumId w:val="2"/>
  </w:num>
  <w:num w:numId="9">
    <w:abstractNumId w:val="3"/>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B6"/>
    <w:rsid w:val="00000435"/>
    <w:rsid w:val="000022C5"/>
    <w:rsid w:val="00005E92"/>
    <w:rsid w:val="000107B9"/>
    <w:rsid w:val="00014B05"/>
    <w:rsid w:val="000409AD"/>
    <w:rsid w:val="00041961"/>
    <w:rsid w:val="0004288A"/>
    <w:rsid w:val="00066846"/>
    <w:rsid w:val="00075E88"/>
    <w:rsid w:val="00084869"/>
    <w:rsid w:val="000924C7"/>
    <w:rsid w:val="00093F2E"/>
    <w:rsid w:val="000A19EB"/>
    <w:rsid w:val="000A64A1"/>
    <w:rsid w:val="000A75BA"/>
    <w:rsid w:val="000B7662"/>
    <w:rsid w:val="000C484D"/>
    <w:rsid w:val="000D32E3"/>
    <w:rsid w:val="000E41C6"/>
    <w:rsid w:val="000F5E08"/>
    <w:rsid w:val="00106A1A"/>
    <w:rsid w:val="001120D6"/>
    <w:rsid w:val="00117780"/>
    <w:rsid w:val="00125E0B"/>
    <w:rsid w:val="0013419B"/>
    <w:rsid w:val="0015093D"/>
    <w:rsid w:val="00152D04"/>
    <w:rsid w:val="0016123B"/>
    <w:rsid w:val="001615D9"/>
    <w:rsid w:val="00165C0C"/>
    <w:rsid w:val="0018219D"/>
    <w:rsid w:val="00184B1F"/>
    <w:rsid w:val="00193D22"/>
    <w:rsid w:val="001A7915"/>
    <w:rsid w:val="001C18FC"/>
    <w:rsid w:val="001D1A09"/>
    <w:rsid w:val="001D373A"/>
    <w:rsid w:val="001E6F2D"/>
    <w:rsid w:val="00215D92"/>
    <w:rsid w:val="00226D60"/>
    <w:rsid w:val="00244FD9"/>
    <w:rsid w:val="00246BE1"/>
    <w:rsid w:val="00252D2D"/>
    <w:rsid w:val="002577E9"/>
    <w:rsid w:val="0028009E"/>
    <w:rsid w:val="00282CF4"/>
    <w:rsid w:val="00291CC1"/>
    <w:rsid w:val="002A589D"/>
    <w:rsid w:val="002B3355"/>
    <w:rsid w:val="002C2ADC"/>
    <w:rsid w:val="002D0524"/>
    <w:rsid w:val="002D4B6A"/>
    <w:rsid w:val="002D6AD8"/>
    <w:rsid w:val="002E1916"/>
    <w:rsid w:val="002E5557"/>
    <w:rsid w:val="002F6B12"/>
    <w:rsid w:val="003051A7"/>
    <w:rsid w:val="00327194"/>
    <w:rsid w:val="00331A22"/>
    <w:rsid w:val="00334D1B"/>
    <w:rsid w:val="0035334A"/>
    <w:rsid w:val="00357B29"/>
    <w:rsid w:val="0037410F"/>
    <w:rsid w:val="0038152E"/>
    <w:rsid w:val="00387679"/>
    <w:rsid w:val="003B0A88"/>
    <w:rsid w:val="003B1E2B"/>
    <w:rsid w:val="003E6B45"/>
    <w:rsid w:val="003F109E"/>
    <w:rsid w:val="003F3C91"/>
    <w:rsid w:val="00414047"/>
    <w:rsid w:val="00417862"/>
    <w:rsid w:val="00427A0F"/>
    <w:rsid w:val="00430F11"/>
    <w:rsid w:val="0043161B"/>
    <w:rsid w:val="00433EE0"/>
    <w:rsid w:val="00445C7D"/>
    <w:rsid w:val="00445FCC"/>
    <w:rsid w:val="00490A42"/>
    <w:rsid w:val="004A10C9"/>
    <w:rsid w:val="004A79EE"/>
    <w:rsid w:val="004B494C"/>
    <w:rsid w:val="004C01C4"/>
    <w:rsid w:val="004C24A7"/>
    <w:rsid w:val="004C7A47"/>
    <w:rsid w:val="004D391F"/>
    <w:rsid w:val="004D44F0"/>
    <w:rsid w:val="004E71FD"/>
    <w:rsid w:val="004F083B"/>
    <w:rsid w:val="00503798"/>
    <w:rsid w:val="0051133D"/>
    <w:rsid w:val="00513513"/>
    <w:rsid w:val="00524199"/>
    <w:rsid w:val="00524F65"/>
    <w:rsid w:val="0053090E"/>
    <w:rsid w:val="00531FDD"/>
    <w:rsid w:val="005339C8"/>
    <w:rsid w:val="00547D96"/>
    <w:rsid w:val="00554382"/>
    <w:rsid w:val="00554AC0"/>
    <w:rsid w:val="00562A28"/>
    <w:rsid w:val="00563F00"/>
    <w:rsid w:val="00571D9D"/>
    <w:rsid w:val="005A5268"/>
    <w:rsid w:val="005A6DAD"/>
    <w:rsid w:val="005F14BD"/>
    <w:rsid w:val="0061162E"/>
    <w:rsid w:val="00617F7E"/>
    <w:rsid w:val="00630CD5"/>
    <w:rsid w:val="00637199"/>
    <w:rsid w:val="0064757F"/>
    <w:rsid w:val="0067666F"/>
    <w:rsid w:val="00687DBA"/>
    <w:rsid w:val="0069163A"/>
    <w:rsid w:val="006A475E"/>
    <w:rsid w:val="006B7BDF"/>
    <w:rsid w:val="006C0377"/>
    <w:rsid w:val="006C79C3"/>
    <w:rsid w:val="006E279D"/>
    <w:rsid w:val="006F50B3"/>
    <w:rsid w:val="007121D6"/>
    <w:rsid w:val="00731552"/>
    <w:rsid w:val="00731DB0"/>
    <w:rsid w:val="0073598B"/>
    <w:rsid w:val="007428FA"/>
    <w:rsid w:val="0075109F"/>
    <w:rsid w:val="00763F27"/>
    <w:rsid w:val="00766178"/>
    <w:rsid w:val="0076636A"/>
    <w:rsid w:val="00793B6A"/>
    <w:rsid w:val="007A1181"/>
    <w:rsid w:val="007C4B50"/>
    <w:rsid w:val="007D50BC"/>
    <w:rsid w:val="007D76BC"/>
    <w:rsid w:val="00805430"/>
    <w:rsid w:val="0081187A"/>
    <w:rsid w:val="0082056B"/>
    <w:rsid w:val="00835696"/>
    <w:rsid w:val="00840658"/>
    <w:rsid w:val="00854A16"/>
    <w:rsid w:val="00864C46"/>
    <w:rsid w:val="0087392C"/>
    <w:rsid w:val="00874956"/>
    <w:rsid w:val="008B39D1"/>
    <w:rsid w:val="008B4EB4"/>
    <w:rsid w:val="008C5D5A"/>
    <w:rsid w:val="008D6347"/>
    <w:rsid w:val="008D65F5"/>
    <w:rsid w:val="008E7F33"/>
    <w:rsid w:val="008F24B6"/>
    <w:rsid w:val="00936D2B"/>
    <w:rsid w:val="00942833"/>
    <w:rsid w:val="00944005"/>
    <w:rsid w:val="00946E66"/>
    <w:rsid w:val="00954C37"/>
    <w:rsid w:val="009569CF"/>
    <w:rsid w:val="00965CE5"/>
    <w:rsid w:val="00970CB7"/>
    <w:rsid w:val="00973366"/>
    <w:rsid w:val="0099358B"/>
    <w:rsid w:val="00994978"/>
    <w:rsid w:val="009A480C"/>
    <w:rsid w:val="009B6652"/>
    <w:rsid w:val="009C2B10"/>
    <w:rsid w:val="009E094F"/>
    <w:rsid w:val="009E5589"/>
    <w:rsid w:val="00A03BFB"/>
    <w:rsid w:val="00A046E1"/>
    <w:rsid w:val="00A14D19"/>
    <w:rsid w:val="00A21101"/>
    <w:rsid w:val="00A2122B"/>
    <w:rsid w:val="00A331BA"/>
    <w:rsid w:val="00A36264"/>
    <w:rsid w:val="00A3714F"/>
    <w:rsid w:val="00A42CB1"/>
    <w:rsid w:val="00A43AFB"/>
    <w:rsid w:val="00A45128"/>
    <w:rsid w:val="00A47A39"/>
    <w:rsid w:val="00A56A83"/>
    <w:rsid w:val="00A56AA9"/>
    <w:rsid w:val="00A61552"/>
    <w:rsid w:val="00A62E17"/>
    <w:rsid w:val="00A70CDC"/>
    <w:rsid w:val="00A7794B"/>
    <w:rsid w:val="00A83280"/>
    <w:rsid w:val="00A90728"/>
    <w:rsid w:val="00A961E9"/>
    <w:rsid w:val="00AA168D"/>
    <w:rsid w:val="00AA292C"/>
    <w:rsid w:val="00AA334C"/>
    <w:rsid w:val="00AB059F"/>
    <w:rsid w:val="00AC7C9A"/>
    <w:rsid w:val="00AD6B5B"/>
    <w:rsid w:val="00AE2C10"/>
    <w:rsid w:val="00AE4A1C"/>
    <w:rsid w:val="00AF0487"/>
    <w:rsid w:val="00AF2704"/>
    <w:rsid w:val="00B025E1"/>
    <w:rsid w:val="00B36495"/>
    <w:rsid w:val="00B531DE"/>
    <w:rsid w:val="00B60B0B"/>
    <w:rsid w:val="00BA7B06"/>
    <w:rsid w:val="00BB59C9"/>
    <w:rsid w:val="00BC0132"/>
    <w:rsid w:val="00BD7CE2"/>
    <w:rsid w:val="00BE3FD1"/>
    <w:rsid w:val="00BF3776"/>
    <w:rsid w:val="00C03825"/>
    <w:rsid w:val="00C04422"/>
    <w:rsid w:val="00C108E6"/>
    <w:rsid w:val="00C11EAC"/>
    <w:rsid w:val="00C257A1"/>
    <w:rsid w:val="00C25807"/>
    <w:rsid w:val="00C55DD1"/>
    <w:rsid w:val="00C61CF5"/>
    <w:rsid w:val="00C62298"/>
    <w:rsid w:val="00C63026"/>
    <w:rsid w:val="00C67B35"/>
    <w:rsid w:val="00C73D9A"/>
    <w:rsid w:val="00C75723"/>
    <w:rsid w:val="00C904A4"/>
    <w:rsid w:val="00CA4E54"/>
    <w:rsid w:val="00CB4646"/>
    <w:rsid w:val="00CD4AB0"/>
    <w:rsid w:val="00D02A92"/>
    <w:rsid w:val="00D15E14"/>
    <w:rsid w:val="00D23C2C"/>
    <w:rsid w:val="00D271FD"/>
    <w:rsid w:val="00D445A5"/>
    <w:rsid w:val="00D60065"/>
    <w:rsid w:val="00D6181C"/>
    <w:rsid w:val="00D82A3F"/>
    <w:rsid w:val="00D84F90"/>
    <w:rsid w:val="00D97DE3"/>
    <w:rsid w:val="00DC0671"/>
    <w:rsid w:val="00DC129F"/>
    <w:rsid w:val="00DC3A91"/>
    <w:rsid w:val="00DD059C"/>
    <w:rsid w:val="00DD3C4C"/>
    <w:rsid w:val="00DF6CAF"/>
    <w:rsid w:val="00E21A4E"/>
    <w:rsid w:val="00E26EF9"/>
    <w:rsid w:val="00E37F16"/>
    <w:rsid w:val="00E430BF"/>
    <w:rsid w:val="00E47863"/>
    <w:rsid w:val="00E6639F"/>
    <w:rsid w:val="00E77E5A"/>
    <w:rsid w:val="00EA13F2"/>
    <w:rsid w:val="00EC2E87"/>
    <w:rsid w:val="00EF1FBC"/>
    <w:rsid w:val="00F04BC9"/>
    <w:rsid w:val="00F11ECF"/>
    <w:rsid w:val="00F27029"/>
    <w:rsid w:val="00F539CC"/>
    <w:rsid w:val="00F54526"/>
    <w:rsid w:val="00F57B95"/>
    <w:rsid w:val="00F71985"/>
    <w:rsid w:val="00F82064"/>
    <w:rsid w:val="00F950F1"/>
    <w:rsid w:val="00F979AA"/>
    <w:rsid w:val="00FA3D0B"/>
    <w:rsid w:val="00FB1CFE"/>
    <w:rsid w:val="00FD4E95"/>
    <w:rsid w:val="00FF2770"/>
    <w:rsid w:val="00FF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B6"/>
    <w:pPr>
      <w:spacing w:after="120" w:line="240" w:lineRule="auto"/>
    </w:pPr>
    <w:rPr>
      <w:rFonts w:ascii="Cambria" w:hAnsi="Cambria"/>
      <w:szCs w:val="24"/>
    </w:rPr>
  </w:style>
  <w:style w:type="paragraph" w:styleId="Heading1">
    <w:name w:val="heading 1"/>
    <w:basedOn w:val="Normal"/>
    <w:next w:val="Normal"/>
    <w:link w:val="Heading1Char"/>
    <w:uiPriority w:val="99"/>
    <w:qFormat/>
    <w:rsid w:val="008F24B6"/>
    <w:pPr>
      <w:keepNext/>
      <w:spacing w:before="240" w:after="60"/>
      <w:outlineLvl w:val="0"/>
    </w:pPr>
    <w:rPr>
      <w:rFonts w:ascii="Calibri" w:hAnsi="Calibri" w:cs="Arial"/>
      <w:b/>
      <w:bCs/>
      <w:kern w:val="32"/>
      <w:sz w:val="36"/>
      <w:szCs w:val="32"/>
    </w:rPr>
  </w:style>
  <w:style w:type="paragraph" w:styleId="Heading2">
    <w:name w:val="heading 2"/>
    <w:basedOn w:val="Normal"/>
    <w:next w:val="Normal"/>
    <w:link w:val="Heading2Char"/>
    <w:uiPriority w:val="99"/>
    <w:qFormat/>
    <w:rsid w:val="008F24B6"/>
    <w:pPr>
      <w:keepNext/>
      <w:spacing w:before="240" w:after="60"/>
      <w:outlineLvl w:val="1"/>
    </w:pPr>
    <w:rPr>
      <w:rFonts w:ascii="Calibri" w:hAnsi="Calibri" w:cs="Arial"/>
      <w:b/>
      <w:bCs/>
      <w:iCs/>
      <w:sz w:val="32"/>
      <w:szCs w:val="28"/>
    </w:rPr>
  </w:style>
  <w:style w:type="paragraph" w:styleId="Heading3">
    <w:name w:val="heading 3"/>
    <w:basedOn w:val="Normal"/>
    <w:next w:val="Normal"/>
    <w:link w:val="Heading3Char"/>
    <w:uiPriority w:val="99"/>
    <w:qFormat/>
    <w:rsid w:val="008F24B6"/>
    <w:pPr>
      <w:keepNext/>
      <w:spacing w:before="240" w:after="60"/>
      <w:outlineLvl w:val="2"/>
    </w:pPr>
    <w:rPr>
      <w:rFonts w:ascii="Calibri" w:hAnsi="Calibri" w:cs="Arial"/>
      <w:b/>
      <w:bCs/>
      <w:sz w:val="28"/>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rsid w:val="00417862"/>
    <w:pPr>
      <w:tabs>
        <w:tab w:val="center" w:pos="4153"/>
        <w:tab w:val="right" w:pos="8306"/>
      </w:tabs>
    </w:pPr>
  </w:style>
  <w:style w:type="character" w:customStyle="1" w:styleId="HeaderChar">
    <w:name w:val="Header Char"/>
    <w:basedOn w:val="DefaultParagraphFont"/>
    <w:link w:val="Header"/>
    <w:uiPriority w:val="99"/>
    <w:semiHidden/>
    <w:rPr>
      <w:rFonts w:ascii="Cambria" w:hAnsi="Cambria"/>
      <w:szCs w:val="24"/>
    </w:rPr>
  </w:style>
  <w:style w:type="paragraph" w:styleId="Footer">
    <w:name w:val="footer"/>
    <w:basedOn w:val="Normal"/>
    <w:link w:val="FooterChar"/>
    <w:uiPriority w:val="99"/>
    <w:rsid w:val="00417862"/>
    <w:pPr>
      <w:tabs>
        <w:tab w:val="center" w:pos="4153"/>
        <w:tab w:val="right" w:pos="8306"/>
      </w:tabs>
    </w:pPr>
  </w:style>
  <w:style w:type="character" w:customStyle="1" w:styleId="FooterChar">
    <w:name w:val="Footer Char"/>
    <w:basedOn w:val="DefaultParagraphFont"/>
    <w:link w:val="Footer"/>
    <w:uiPriority w:val="99"/>
    <w:semiHidden/>
    <w:rPr>
      <w:rFonts w:ascii="Cambria" w:hAnsi="Cambria"/>
      <w:szCs w:val="24"/>
    </w:rPr>
  </w:style>
  <w:style w:type="character" w:styleId="PageNumber">
    <w:name w:val="page number"/>
    <w:basedOn w:val="DefaultParagraphFont"/>
    <w:uiPriority w:val="99"/>
    <w:rsid w:val="00417862"/>
    <w:rPr>
      <w:rFonts w:cs="Times New Roman"/>
    </w:rPr>
  </w:style>
  <w:style w:type="paragraph" w:customStyle="1" w:styleId="BodyText-Bullets">
    <w:name w:val="Body Text - Bullets"/>
    <w:basedOn w:val="Normal"/>
    <w:uiPriority w:val="99"/>
    <w:rsid w:val="00AB059F"/>
    <w:pPr>
      <w:numPr>
        <w:numId w:val="9"/>
      </w:numPr>
      <w:spacing w:after="240"/>
    </w:pPr>
    <w:rPr>
      <w:rFonts w:ascii="Times New Roman" w:hAnsi="Times New Roman"/>
      <w:szCs w:val="22"/>
      <w:lang w:eastAsia="en-US"/>
    </w:rPr>
  </w:style>
  <w:style w:type="table" w:styleId="TableGrid">
    <w:name w:val="Table Grid"/>
    <w:basedOn w:val="TableNormal"/>
    <w:uiPriority w:val="99"/>
    <w:rsid w:val="00AB059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uiPriority w:val="99"/>
    <w:rsid w:val="00AB059F"/>
    <w:pPr>
      <w:suppressAutoHyphens/>
      <w:autoSpaceDE w:val="0"/>
      <w:autoSpaceDN w:val="0"/>
      <w:adjustRightInd w:val="0"/>
      <w:spacing w:after="142" w:line="290" w:lineRule="atLeast"/>
      <w:textAlignment w:val="center"/>
    </w:pPr>
    <w:rPr>
      <w:rFonts w:ascii="Univers 47 CondensedLight" w:hAnsi="Univers 47 CondensedLight" w:cs="Univers 47 CondensedLight"/>
      <w:color w:val="000000"/>
      <w:spacing w:val="2"/>
      <w:szCs w:val="22"/>
    </w:rPr>
  </w:style>
  <w:style w:type="paragraph" w:styleId="TOC2">
    <w:name w:val="toc 2"/>
    <w:basedOn w:val="Normal"/>
    <w:next w:val="Normal"/>
    <w:autoRedefine/>
    <w:uiPriority w:val="99"/>
    <w:semiHidden/>
    <w:rsid w:val="000F5E08"/>
    <w:pPr>
      <w:ind w:left="220"/>
    </w:pPr>
  </w:style>
  <w:style w:type="paragraph" w:styleId="TOC1">
    <w:name w:val="toc 1"/>
    <w:basedOn w:val="Normal"/>
    <w:next w:val="Normal"/>
    <w:autoRedefine/>
    <w:uiPriority w:val="99"/>
    <w:semiHidden/>
    <w:rsid w:val="000F5E08"/>
  </w:style>
  <w:style w:type="character" w:styleId="Hyperlink">
    <w:name w:val="Hyperlink"/>
    <w:basedOn w:val="DefaultParagraphFont"/>
    <w:uiPriority w:val="99"/>
    <w:rsid w:val="000F5E08"/>
    <w:rPr>
      <w:rFonts w:cs="Times New Roman"/>
      <w:color w:val="0000FF"/>
      <w:u w:val="single"/>
    </w:rPr>
  </w:style>
  <w:style w:type="paragraph" w:styleId="NoteHeading">
    <w:name w:val="Note Heading"/>
    <w:basedOn w:val="Normal"/>
    <w:next w:val="Normal"/>
    <w:link w:val="NoteHeadingChar"/>
    <w:uiPriority w:val="99"/>
    <w:rsid w:val="0082056B"/>
    <w:rPr>
      <w:b/>
    </w:rPr>
  </w:style>
  <w:style w:type="character" w:customStyle="1" w:styleId="NoteHeadingChar">
    <w:name w:val="Note Heading Char"/>
    <w:basedOn w:val="DefaultParagraphFont"/>
    <w:link w:val="NoteHeading"/>
    <w:uiPriority w:val="99"/>
    <w:semiHidden/>
    <w:rPr>
      <w:rFonts w:ascii="Cambria" w:hAnsi="Cambr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B6"/>
    <w:pPr>
      <w:spacing w:after="120" w:line="240" w:lineRule="auto"/>
    </w:pPr>
    <w:rPr>
      <w:rFonts w:ascii="Cambria" w:hAnsi="Cambria"/>
      <w:szCs w:val="24"/>
    </w:rPr>
  </w:style>
  <w:style w:type="paragraph" w:styleId="Heading1">
    <w:name w:val="heading 1"/>
    <w:basedOn w:val="Normal"/>
    <w:next w:val="Normal"/>
    <w:link w:val="Heading1Char"/>
    <w:uiPriority w:val="99"/>
    <w:qFormat/>
    <w:rsid w:val="008F24B6"/>
    <w:pPr>
      <w:keepNext/>
      <w:spacing w:before="240" w:after="60"/>
      <w:outlineLvl w:val="0"/>
    </w:pPr>
    <w:rPr>
      <w:rFonts w:ascii="Calibri" w:hAnsi="Calibri" w:cs="Arial"/>
      <w:b/>
      <w:bCs/>
      <w:kern w:val="32"/>
      <w:sz w:val="36"/>
      <w:szCs w:val="32"/>
    </w:rPr>
  </w:style>
  <w:style w:type="paragraph" w:styleId="Heading2">
    <w:name w:val="heading 2"/>
    <w:basedOn w:val="Normal"/>
    <w:next w:val="Normal"/>
    <w:link w:val="Heading2Char"/>
    <w:uiPriority w:val="99"/>
    <w:qFormat/>
    <w:rsid w:val="008F24B6"/>
    <w:pPr>
      <w:keepNext/>
      <w:spacing w:before="240" w:after="60"/>
      <w:outlineLvl w:val="1"/>
    </w:pPr>
    <w:rPr>
      <w:rFonts w:ascii="Calibri" w:hAnsi="Calibri" w:cs="Arial"/>
      <w:b/>
      <w:bCs/>
      <w:iCs/>
      <w:sz w:val="32"/>
      <w:szCs w:val="28"/>
    </w:rPr>
  </w:style>
  <w:style w:type="paragraph" w:styleId="Heading3">
    <w:name w:val="heading 3"/>
    <w:basedOn w:val="Normal"/>
    <w:next w:val="Normal"/>
    <w:link w:val="Heading3Char"/>
    <w:uiPriority w:val="99"/>
    <w:qFormat/>
    <w:rsid w:val="008F24B6"/>
    <w:pPr>
      <w:keepNext/>
      <w:spacing w:before="240" w:after="60"/>
      <w:outlineLvl w:val="2"/>
    </w:pPr>
    <w:rPr>
      <w:rFonts w:ascii="Calibri" w:hAnsi="Calibri" w:cs="Arial"/>
      <w:b/>
      <w:bCs/>
      <w:sz w:val="28"/>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rsid w:val="00417862"/>
    <w:pPr>
      <w:tabs>
        <w:tab w:val="center" w:pos="4153"/>
        <w:tab w:val="right" w:pos="8306"/>
      </w:tabs>
    </w:pPr>
  </w:style>
  <w:style w:type="character" w:customStyle="1" w:styleId="HeaderChar">
    <w:name w:val="Header Char"/>
    <w:basedOn w:val="DefaultParagraphFont"/>
    <w:link w:val="Header"/>
    <w:uiPriority w:val="99"/>
    <w:semiHidden/>
    <w:rPr>
      <w:rFonts w:ascii="Cambria" w:hAnsi="Cambria"/>
      <w:szCs w:val="24"/>
    </w:rPr>
  </w:style>
  <w:style w:type="paragraph" w:styleId="Footer">
    <w:name w:val="footer"/>
    <w:basedOn w:val="Normal"/>
    <w:link w:val="FooterChar"/>
    <w:uiPriority w:val="99"/>
    <w:rsid w:val="00417862"/>
    <w:pPr>
      <w:tabs>
        <w:tab w:val="center" w:pos="4153"/>
        <w:tab w:val="right" w:pos="8306"/>
      </w:tabs>
    </w:pPr>
  </w:style>
  <w:style w:type="character" w:customStyle="1" w:styleId="FooterChar">
    <w:name w:val="Footer Char"/>
    <w:basedOn w:val="DefaultParagraphFont"/>
    <w:link w:val="Footer"/>
    <w:uiPriority w:val="99"/>
    <w:semiHidden/>
    <w:rPr>
      <w:rFonts w:ascii="Cambria" w:hAnsi="Cambria"/>
      <w:szCs w:val="24"/>
    </w:rPr>
  </w:style>
  <w:style w:type="character" w:styleId="PageNumber">
    <w:name w:val="page number"/>
    <w:basedOn w:val="DefaultParagraphFont"/>
    <w:uiPriority w:val="99"/>
    <w:rsid w:val="00417862"/>
    <w:rPr>
      <w:rFonts w:cs="Times New Roman"/>
    </w:rPr>
  </w:style>
  <w:style w:type="paragraph" w:customStyle="1" w:styleId="BodyText-Bullets">
    <w:name w:val="Body Text - Bullets"/>
    <w:basedOn w:val="Normal"/>
    <w:uiPriority w:val="99"/>
    <w:rsid w:val="00AB059F"/>
    <w:pPr>
      <w:numPr>
        <w:numId w:val="9"/>
      </w:numPr>
      <w:spacing w:after="240"/>
    </w:pPr>
    <w:rPr>
      <w:rFonts w:ascii="Times New Roman" w:hAnsi="Times New Roman"/>
      <w:szCs w:val="22"/>
      <w:lang w:eastAsia="en-US"/>
    </w:rPr>
  </w:style>
  <w:style w:type="table" w:styleId="TableGrid">
    <w:name w:val="Table Grid"/>
    <w:basedOn w:val="TableNormal"/>
    <w:uiPriority w:val="99"/>
    <w:rsid w:val="00AB059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uiPriority w:val="99"/>
    <w:rsid w:val="00AB059F"/>
    <w:pPr>
      <w:suppressAutoHyphens/>
      <w:autoSpaceDE w:val="0"/>
      <w:autoSpaceDN w:val="0"/>
      <w:adjustRightInd w:val="0"/>
      <w:spacing w:after="142" w:line="290" w:lineRule="atLeast"/>
      <w:textAlignment w:val="center"/>
    </w:pPr>
    <w:rPr>
      <w:rFonts w:ascii="Univers 47 CondensedLight" w:hAnsi="Univers 47 CondensedLight" w:cs="Univers 47 CondensedLight"/>
      <w:color w:val="000000"/>
      <w:spacing w:val="2"/>
      <w:szCs w:val="22"/>
    </w:rPr>
  </w:style>
  <w:style w:type="paragraph" w:styleId="TOC2">
    <w:name w:val="toc 2"/>
    <w:basedOn w:val="Normal"/>
    <w:next w:val="Normal"/>
    <w:autoRedefine/>
    <w:uiPriority w:val="99"/>
    <w:semiHidden/>
    <w:rsid w:val="000F5E08"/>
    <w:pPr>
      <w:ind w:left="220"/>
    </w:pPr>
  </w:style>
  <w:style w:type="paragraph" w:styleId="TOC1">
    <w:name w:val="toc 1"/>
    <w:basedOn w:val="Normal"/>
    <w:next w:val="Normal"/>
    <w:autoRedefine/>
    <w:uiPriority w:val="99"/>
    <w:semiHidden/>
    <w:rsid w:val="000F5E08"/>
  </w:style>
  <w:style w:type="character" w:styleId="Hyperlink">
    <w:name w:val="Hyperlink"/>
    <w:basedOn w:val="DefaultParagraphFont"/>
    <w:uiPriority w:val="99"/>
    <w:rsid w:val="000F5E08"/>
    <w:rPr>
      <w:rFonts w:cs="Times New Roman"/>
      <w:color w:val="0000FF"/>
      <w:u w:val="single"/>
    </w:rPr>
  </w:style>
  <w:style w:type="paragraph" w:styleId="NoteHeading">
    <w:name w:val="Note Heading"/>
    <w:basedOn w:val="Normal"/>
    <w:next w:val="Normal"/>
    <w:link w:val="NoteHeadingChar"/>
    <w:uiPriority w:val="99"/>
    <w:rsid w:val="0082056B"/>
    <w:rPr>
      <w:b/>
    </w:rPr>
  </w:style>
  <w:style w:type="character" w:customStyle="1" w:styleId="NoteHeadingChar">
    <w:name w:val="Note Heading Char"/>
    <w:basedOn w:val="DefaultParagraphFont"/>
    <w:link w:val="NoteHeading"/>
    <w:uiPriority w:val="99"/>
    <w:semiHidden/>
    <w:rPr>
      <w:rFonts w:ascii="Cambria"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rli.gov.au" TargetMode="External"/><Relationship Id="rId5" Type="http://schemas.openxmlformats.org/officeDocument/2006/relationships/webSettings" Target="webSettings.xml"/><Relationship Id="rId10" Type="http://schemas.openxmlformats.org/officeDocument/2006/relationships/hyperlink" Target="http://www.nationalcapital.gov.au/downloads/planning_and_urban_design/NCP/ncp_images_maps_PDF/Fig17_A3.pdf"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E17FC5BF.dotm</Template>
  <TotalTime>0</TotalTime>
  <Pages>14</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lpstr>
    </vt:vector>
  </TitlesOfParts>
  <Company>National Capital Authority</Company>
  <LinksUpToDate>false</LinksUpToDate>
  <CharactersWithSpaces>20801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SorensenR</dc:creator>
  <cp:lastModifiedBy>Pedro Fortunato</cp:lastModifiedBy>
  <cp:revision>2</cp:revision>
  <dcterms:created xsi:type="dcterms:W3CDTF">2013-10-01T22:22:00Z</dcterms:created>
  <dcterms:modified xsi:type="dcterms:W3CDTF">2013-10-01T22:22:00Z</dcterms:modified>
</cp:coreProperties>
</file>